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008"/>
        <w:gridCol w:w="2988"/>
        <w:gridCol w:w="1458"/>
        <w:gridCol w:w="1422"/>
        <w:gridCol w:w="2336"/>
        <w:gridCol w:w="616"/>
      </w:tblGrid>
      <w:tr w:rsidR="00E1396D" w:rsidTr="00E1396D">
        <w:trPr>
          <w:gridBefore w:val="1"/>
          <w:gridAfter w:val="1"/>
          <w:wBefore w:w="432" w:type="dxa"/>
          <w:wAfter w:w="616" w:type="dxa"/>
          <w:trHeight w:val="709"/>
        </w:trPr>
        <w:tc>
          <w:tcPr>
            <w:tcW w:w="9212" w:type="dxa"/>
            <w:gridSpan w:val="5"/>
            <w:tcBorders>
              <w:top w:val="single" w:sz="4" w:space="0" w:color="auto"/>
              <w:left w:val="single" w:sz="4" w:space="0" w:color="auto"/>
              <w:bottom w:val="single" w:sz="4" w:space="0" w:color="auto"/>
              <w:right w:val="single" w:sz="4" w:space="0" w:color="auto"/>
            </w:tcBorders>
            <w:shd w:val="clear" w:color="auto" w:fill="CCCCCC"/>
          </w:tcPr>
          <w:p w:rsidR="00E1396D" w:rsidRPr="00E074AB" w:rsidRDefault="00E1396D" w:rsidP="00CA6420">
            <w:pPr>
              <w:ind w:right="-4" w:hanging="180"/>
              <w:jc w:val="center"/>
              <w:rPr>
                <w:b/>
              </w:rPr>
            </w:pPr>
            <w:r w:rsidRPr="00E074AB">
              <w:rPr>
                <w:b/>
              </w:rPr>
              <w:t>ÜGYMENET LEÍRÁS</w:t>
            </w:r>
          </w:p>
          <w:p w:rsidR="00E1396D" w:rsidRPr="00E074AB" w:rsidRDefault="00E1396D" w:rsidP="00CA6420">
            <w:pPr>
              <w:jc w:val="center"/>
              <w:rPr>
                <w:b/>
              </w:rPr>
            </w:pPr>
            <w:r w:rsidRPr="00E074AB">
              <w:rPr>
                <w:b/>
              </w:rPr>
              <w:t xml:space="preserve">PÉNZÜGYI </w:t>
            </w:r>
            <w:proofErr w:type="gramStart"/>
            <w:r w:rsidRPr="00E074AB">
              <w:rPr>
                <w:b/>
              </w:rPr>
              <w:t>ÉS</w:t>
            </w:r>
            <w:proofErr w:type="gramEnd"/>
            <w:r w:rsidRPr="00E074AB">
              <w:rPr>
                <w:b/>
              </w:rPr>
              <w:t xml:space="preserve"> ADÓ IRODA</w:t>
            </w:r>
          </w:p>
          <w:p w:rsidR="00E1396D" w:rsidRPr="00E074AB" w:rsidRDefault="00E1396D" w:rsidP="00CA6420">
            <w:pPr>
              <w:jc w:val="center"/>
              <w:rPr>
                <w:b/>
              </w:rPr>
            </w:pPr>
            <w:r w:rsidRPr="00E074AB">
              <w:rPr>
                <w:b/>
              </w:rPr>
              <w:t>Adócsoport</w:t>
            </w:r>
          </w:p>
        </w:tc>
      </w:tr>
      <w:tr w:rsidR="00E1396D" w:rsidTr="00E1396D">
        <w:tc>
          <w:tcPr>
            <w:tcW w:w="1440" w:type="dxa"/>
            <w:gridSpan w:val="2"/>
            <w:shd w:val="clear" w:color="auto" w:fill="E0E0E0"/>
          </w:tcPr>
          <w:p w:rsidR="00E1396D" w:rsidRPr="00E074AB" w:rsidRDefault="00E1396D" w:rsidP="00CA6420">
            <w:pPr>
              <w:rPr>
                <w:sz w:val="22"/>
                <w:szCs w:val="22"/>
              </w:rPr>
            </w:pPr>
            <w:r w:rsidRPr="00E074AB">
              <w:rPr>
                <w:sz w:val="22"/>
                <w:szCs w:val="22"/>
              </w:rPr>
              <w:t>Ügytípus</w:t>
            </w:r>
          </w:p>
        </w:tc>
        <w:tc>
          <w:tcPr>
            <w:tcW w:w="2988" w:type="dxa"/>
            <w:shd w:val="clear" w:color="auto" w:fill="E0E0E0"/>
          </w:tcPr>
          <w:p w:rsidR="00E1396D" w:rsidRPr="00E074AB" w:rsidRDefault="00E1396D" w:rsidP="00CA6420">
            <w:pPr>
              <w:rPr>
                <w:sz w:val="22"/>
                <w:szCs w:val="22"/>
              </w:rPr>
            </w:pPr>
            <w:r w:rsidRPr="00E074AB">
              <w:rPr>
                <w:sz w:val="22"/>
                <w:szCs w:val="22"/>
              </w:rPr>
              <w:t>Rövid leírás</w:t>
            </w:r>
          </w:p>
        </w:tc>
        <w:tc>
          <w:tcPr>
            <w:tcW w:w="1458" w:type="dxa"/>
            <w:shd w:val="clear" w:color="auto" w:fill="E0E0E0"/>
          </w:tcPr>
          <w:p w:rsidR="00E1396D" w:rsidRPr="00E074AB" w:rsidRDefault="00E1396D" w:rsidP="00CA6420">
            <w:pPr>
              <w:rPr>
                <w:sz w:val="22"/>
                <w:szCs w:val="22"/>
              </w:rPr>
            </w:pPr>
            <w:r w:rsidRPr="00E074AB">
              <w:rPr>
                <w:sz w:val="22"/>
                <w:szCs w:val="22"/>
              </w:rPr>
              <w:t>Ügyintéző/</w:t>
            </w:r>
          </w:p>
          <w:p w:rsidR="00E1396D" w:rsidRPr="00E074AB" w:rsidRDefault="00E1396D" w:rsidP="00CA6420">
            <w:pPr>
              <w:rPr>
                <w:sz w:val="22"/>
                <w:szCs w:val="22"/>
              </w:rPr>
            </w:pPr>
            <w:r w:rsidRPr="00E074AB">
              <w:rPr>
                <w:sz w:val="22"/>
                <w:szCs w:val="22"/>
              </w:rPr>
              <w:t>elérhetőség</w:t>
            </w:r>
          </w:p>
        </w:tc>
        <w:tc>
          <w:tcPr>
            <w:tcW w:w="1422" w:type="dxa"/>
            <w:shd w:val="clear" w:color="auto" w:fill="E0E0E0"/>
          </w:tcPr>
          <w:p w:rsidR="00E1396D" w:rsidRPr="00E074AB" w:rsidRDefault="00E1396D" w:rsidP="00CA6420">
            <w:pPr>
              <w:rPr>
                <w:sz w:val="22"/>
                <w:szCs w:val="22"/>
              </w:rPr>
            </w:pPr>
            <w:r w:rsidRPr="00E074AB">
              <w:rPr>
                <w:sz w:val="22"/>
                <w:szCs w:val="22"/>
              </w:rPr>
              <w:t>Ügyintézés helye, időpontja</w:t>
            </w:r>
          </w:p>
        </w:tc>
        <w:tc>
          <w:tcPr>
            <w:tcW w:w="2952" w:type="dxa"/>
            <w:gridSpan w:val="2"/>
            <w:shd w:val="clear" w:color="auto" w:fill="E0E0E0"/>
          </w:tcPr>
          <w:p w:rsidR="00E1396D" w:rsidRPr="00E074AB" w:rsidRDefault="00E1396D" w:rsidP="00CA6420">
            <w:pPr>
              <w:rPr>
                <w:sz w:val="20"/>
                <w:szCs w:val="20"/>
              </w:rPr>
            </w:pPr>
            <w:r w:rsidRPr="00E074AB">
              <w:rPr>
                <w:sz w:val="20"/>
                <w:szCs w:val="20"/>
              </w:rPr>
              <w:t>Jogszabályi háttér</w:t>
            </w:r>
          </w:p>
        </w:tc>
      </w:tr>
      <w:tr w:rsidR="00E1396D" w:rsidTr="00E1396D">
        <w:tc>
          <w:tcPr>
            <w:tcW w:w="1440" w:type="dxa"/>
            <w:gridSpan w:val="2"/>
            <w:shd w:val="clear" w:color="auto" w:fill="auto"/>
          </w:tcPr>
          <w:p w:rsidR="00E1396D" w:rsidRPr="00E074AB" w:rsidRDefault="00E1396D" w:rsidP="00CA6420">
            <w:pPr>
              <w:jc w:val="both"/>
              <w:rPr>
                <w:b/>
                <w:sz w:val="18"/>
                <w:szCs w:val="18"/>
              </w:rPr>
            </w:pPr>
            <w:bookmarkStart w:id="0" w:name="_GoBack"/>
            <w:proofErr w:type="gramStart"/>
            <w:r w:rsidRPr="00E074AB">
              <w:rPr>
                <w:b/>
                <w:sz w:val="18"/>
                <w:szCs w:val="18"/>
              </w:rPr>
              <w:t>Helyi  iparűzési</w:t>
            </w:r>
            <w:proofErr w:type="gramEnd"/>
            <w:r w:rsidRPr="00E074AB">
              <w:rPr>
                <w:b/>
                <w:sz w:val="18"/>
                <w:szCs w:val="18"/>
              </w:rPr>
              <w:t xml:space="preserve"> adó</w:t>
            </w:r>
          </w:p>
          <w:bookmarkEnd w:id="0"/>
          <w:p w:rsidR="00E1396D" w:rsidRPr="00E074AB" w:rsidRDefault="00E1396D" w:rsidP="00CA6420">
            <w:pPr>
              <w:jc w:val="both"/>
              <w:rPr>
                <w:b/>
                <w:sz w:val="18"/>
                <w:szCs w:val="18"/>
              </w:rPr>
            </w:pPr>
          </w:p>
          <w:p w:rsidR="00E1396D" w:rsidRPr="00E074AB" w:rsidRDefault="00E1396D" w:rsidP="00CA6420">
            <w:pPr>
              <w:jc w:val="both"/>
              <w:rPr>
                <w:b/>
                <w:sz w:val="20"/>
                <w:szCs w:val="20"/>
              </w:rPr>
            </w:pPr>
          </w:p>
          <w:p w:rsidR="00E1396D" w:rsidRPr="00E074AB" w:rsidRDefault="00E1396D" w:rsidP="00CA6420">
            <w:pPr>
              <w:jc w:val="both"/>
              <w:rPr>
                <w:b/>
                <w:sz w:val="20"/>
                <w:szCs w:val="20"/>
              </w:rPr>
            </w:pPr>
          </w:p>
          <w:p w:rsidR="00E1396D" w:rsidRPr="00E074AB" w:rsidRDefault="00E1396D" w:rsidP="00CA6420">
            <w:pPr>
              <w:jc w:val="both"/>
              <w:rPr>
                <w:b/>
                <w:sz w:val="20"/>
                <w:szCs w:val="20"/>
              </w:rPr>
            </w:pPr>
          </w:p>
          <w:p w:rsidR="00E1396D" w:rsidRPr="00E074AB" w:rsidRDefault="00E1396D" w:rsidP="00CA6420">
            <w:pPr>
              <w:jc w:val="both"/>
              <w:rPr>
                <w:b/>
                <w:sz w:val="20"/>
                <w:szCs w:val="20"/>
              </w:rPr>
            </w:pPr>
          </w:p>
          <w:p w:rsidR="00E1396D" w:rsidRPr="00E074AB" w:rsidRDefault="00E1396D" w:rsidP="00CA6420">
            <w:pPr>
              <w:jc w:val="both"/>
              <w:rPr>
                <w:b/>
                <w:sz w:val="20"/>
                <w:szCs w:val="20"/>
              </w:rPr>
            </w:pPr>
          </w:p>
          <w:p w:rsidR="00E1396D" w:rsidRPr="00E074AB" w:rsidRDefault="00E1396D" w:rsidP="00CA6420">
            <w:pPr>
              <w:jc w:val="both"/>
              <w:rPr>
                <w:b/>
                <w:sz w:val="20"/>
                <w:szCs w:val="20"/>
              </w:rPr>
            </w:pPr>
          </w:p>
          <w:p w:rsidR="00E1396D" w:rsidRPr="00E074AB" w:rsidRDefault="00E1396D" w:rsidP="00CA6420">
            <w:pPr>
              <w:jc w:val="both"/>
              <w:rPr>
                <w:b/>
                <w:sz w:val="20"/>
                <w:szCs w:val="20"/>
              </w:rPr>
            </w:pPr>
          </w:p>
          <w:p w:rsidR="00E1396D" w:rsidRPr="00E074AB" w:rsidRDefault="00E1396D" w:rsidP="00CA6420">
            <w:pPr>
              <w:jc w:val="both"/>
              <w:rPr>
                <w:b/>
                <w:sz w:val="20"/>
                <w:szCs w:val="20"/>
              </w:rPr>
            </w:pPr>
          </w:p>
        </w:tc>
        <w:tc>
          <w:tcPr>
            <w:tcW w:w="2988" w:type="dxa"/>
            <w:shd w:val="clear" w:color="auto" w:fill="auto"/>
          </w:tcPr>
          <w:p w:rsidR="00E1396D" w:rsidRPr="00E074AB" w:rsidRDefault="00E1396D" w:rsidP="00CA6420">
            <w:pPr>
              <w:jc w:val="both"/>
              <w:rPr>
                <w:sz w:val="16"/>
                <w:szCs w:val="16"/>
              </w:rPr>
            </w:pPr>
            <w:r w:rsidRPr="00E074AB">
              <w:rPr>
                <w:b/>
                <w:sz w:val="16"/>
                <w:szCs w:val="16"/>
                <w:u w:val="single"/>
              </w:rPr>
              <w:t>Adóalany:</w:t>
            </w:r>
            <w:r w:rsidRPr="00E074AB">
              <w:rPr>
                <w:sz w:val="16"/>
                <w:szCs w:val="16"/>
              </w:rPr>
              <w:t xml:space="preserve"> az a vállalkozó, aki az önkormányzat illetékességi területén állandó jelleggel vállalkozási tevékenységet végez. A vállalkozó állandó jellegű iparűzési tevékenységet végez az önkormányzat illetékességi területén, ha ott székhellyel, telephellyel rendelkezik, függetlenül attól, hogy tevékenységét részben vagy egészben székhelyén (telephelyén) kívül folytatja. (</w:t>
            </w:r>
            <w:proofErr w:type="spellStart"/>
            <w:r w:rsidRPr="00E074AB">
              <w:rPr>
                <w:sz w:val="16"/>
                <w:szCs w:val="16"/>
              </w:rPr>
              <w:t>Htv</w:t>
            </w:r>
            <w:proofErr w:type="spellEnd"/>
            <w:r w:rsidRPr="00E074AB">
              <w:rPr>
                <w:sz w:val="16"/>
                <w:szCs w:val="16"/>
              </w:rPr>
              <w:t>. 37. § (1) bekezdés)</w:t>
            </w:r>
          </w:p>
          <w:p w:rsidR="00E1396D" w:rsidRPr="00E074AB" w:rsidRDefault="00E1396D" w:rsidP="00CA6420">
            <w:pPr>
              <w:jc w:val="both"/>
              <w:rPr>
                <w:sz w:val="16"/>
                <w:szCs w:val="16"/>
              </w:rPr>
            </w:pPr>
            <w:r w:rsidRPr="00E074AB">
              <w:rPr>
                <w:sz w:val="16"/>
                <w:szCs w:val="16"/>
              </w:rPr>
              <w:t>Adóköteles iparűzési tevékenység: a vállalkozó e minőségben végzett nyereség-, illetőleg jövedelemszerzésre irányuló tevékenysége. (</w:t>
            </w:r>
            <w:proofErr w:type="spellStart"/>
            <w:r w:rsidRPr="00E074AB">
              <w:rPr>
                <w:sz w:val="16"/>
                <w:szCs w:val="16"/>
              </w:rPr>
              <w:t>Htv</w:t>
            </w:r>
            <w:proofErr w:type="spellEnd"/>
            <w:r w:rsidRPr="00E074AB">
              <w:rPr>
                <w:sz w:val="16"/>
                <w:szCs w:val="16"/>
              </w:rPr>
              <w:t>. 36. §)</w:t>
            </w:r>
          </w:p>
          <w:p w:rsidR="00E1396D" w:rsidRPr="00E074AB" w:rsidRDefault="00E1396D" w:rsidP="00CA6420">
            <w:pPr>
              <w:jc w:val="both"/>
              <w:rPr>
                <w:sz w:val="16"/>
                <w:szCs w:val="16"/>
              </w:rPr>
            </w:pPr>
            <w:r w:rsidRPr="00E074AB">
              <w:rPr>
                <w:sz w:val="16"/>
                <w:szCs w:val="16"/>
              </w:rPr>
              <w:t>Ideiglenes jellegű az iparűzési tevékenység, ha az önkormányzat területén az ott székhellyel, telephellyel nem rendelkező vállalkozó építőipari tevékenységet folytat, erőforrást tár fel, vagy kutat, feltéve hogy folyamatosan, vagy megszakításokkal végzett tevékenység időtartama adó éven belül a 30 napot meghaladja, de nem éri el a 181 napot. (Htv.37. § (2) bekezdés a) pont)</w:t>
            </w:r>
          </w:p>
          <w:p w:rsidR="00E1396D" w:rsidRPr="00E074AB" w:rsidRDefault="00E1396D" w:rsidP="00CA6420">
            <w:pPr>
              <w:jc w:val="both"/>
              <w:rPr>
                <w:sz w:val="16"/>
                <w:szCs w:val="16"/>
              </w:rPr>
            </w:pPr>
            <w:r w:rsidRPr="00E074AB">
              <w:rPr>
                <w:sz w:val="16"/>
                <w:szCs w:val="16"/>
              </w:rPr>
              <w:t xml:space="preserve">Bármely </w:t>
            </w:r>
            <w:proofErr w:type="spellStart"/>
            <w:r w:rsidRPr="00E074AB">
              <w:rPr>
                <w:sz w:val="16"/>
                <w:szCs w:val="16"/>
              </w:rPr>
              <w:t>Htv</w:t>
            </w:r>
            <w:proofErr w:type="spellEnd"/>
            <w:r w:rsidRPr="00E074AB">
              <w:rPr>
                <w:sz w:val="16"/>
                <w:szCs w:val="16"/>
              </w:rPr>
              <w:t>. 37. § (2) a) pontjába nem sorolható tevékenységet végez, ha annak folytatásából bevételre tesz szert, feltéve, hogy egyetlen önkormányzat illetékességi területén sem rendelkezik székhellyel, telephellyel.</w:t>
            </w:r>
          </w:p>
          <w:p w:rsidR="00E1396D" w:rsidRPr="00E074AB" w:rsidRDefault="00E1396D" w:rsidP="00CA6420">
            <w:pPr>
              <w:jc w:val="both"/>
              <w:rPr>
                <w:sz w:val="16"/>
                <w:szCs w:val="16"/>
              </w:rPr>
            </w:pPr>
            <w:r w:rsidRPr="00E074AB">
              <w:rPr>
                <w:b/>
                <w:sz w:val="16"/>
                <w:szCs w:val="16"/>
                <w:u w:val="single"/>
              </w:rPr>
              <w:t>Adóalap:</w:t>
            </w:r>
            <w:r w:rsidRPr="00E074AB">
              <w:rPr>
                <w:sz w:val="16"/>
                <w:szCs w:val="16"/>
              </w:rPr>
              <w:t xml:space="preserve"> állandó jelleggel végzett iparűzési tevékenység esetén az adó alapja a nettó árbevétel, csökkentve sávosan progresszív módon az eladott áruk beszerzési és a közvetített szolgáltatások értékével, az alvállalkozói teljesítések értékével, az anyagköltséggel. (</w:t>
            </w:r>
            <w:proofErr w:type="spellStart"/>
            <w:r w:rsidRPr="00E074AB">
              <w:rPr>
                <w:sz w:val="16"/>
                <w:szCs w:val="16"/>
              </w:rPr>
              <w:t>Htv</w:t>
            </w:r>
            <w:proofErr w:type="spellEnd"/>
            <w:r w:rsidRPr="00E074AB">
              <w:rPr>
                <w:sz w:val="16"/>
                <w:szCs w:val="16"/>
              </w:rPr>
              <w:t>. 39. §)</w:t>
            </w:r>
          </w:p>
          <w:p w:rsidR="00E1396D" w:rsidRPr="00E074AB" w:rsidRDefault="00E1396D" w:rsidP="00CA6420">
            <w:pPr>
              <w:jc w:val="both"/>
              <w:rPr>
                <w:sz w:val="16"/>
                <w:szCs w:val="16"/>
              </w:rPr>
            </w:pPr>
            <w:r w:rsidRPr="00E074AB">
              <w:rPr>
                <w:b/>
                <w:sz w:val="16"/>
                <w:szCs w:val="16"/>
                <w:u w:val="single"/>
              </w:rPr>
              <w:t>Adó mértéke:</w:t>
            </w:r>
            <w:r w:rsidRPr="00E074AB">
              <w:rPr>
                <w:sz w:val="16"/>
                <w:szCs w:val="16"/>
              </w:rPr>
              <w:t xml:space="preserve"> </w:t>
            </w:r>
          </w:p>
          <w:p w:rsidR="00E1396D" w:rsidRPr="00E074AB" w:rsidRDefault="00E1396D" w:rsidP="00CA6420">
            <w:pPr>
              <w:jc w:val="both"/>
              <w:rPr>
                <w:sz w:val="16"/>
                <w:szCs w:val="16"/>
              </w:rPr>
            </w:pPr>
            <w:r w:rsidRPr="00E074AB">
              <w:rPr>
                <w:sz w:val="16"/>
                <w:szCs w:val="16"/>
              </w:rPr>
              <w:t>1. Állandó iparűzési tevékenységnél, az adóalap 1,8%-a (</w:t>
            </w:r>
            <w:proofErr w:type="spellStart"/>
            <w:r w:rsidRPr="00E074AB">
              <w:rPr>
                <w:sz w:val="16"/>
                <w:szCs w:val="16"/>
              </w:rPr>
              <w:t>Ökr</w:t>
            </w:r>
            <w:proofErr w:type="spellEnd"/>
            <w:r w:rsidRPr="00E074AB">
              <w:rPr>
                <w:sz w:val="16"/>
                <w:szCs w:val="16"/>
              </w:rPr>
              <w:t>. 10. § (1) bekezdés)</w:t>
            </w:r>
          </w:p>
          <w:p w:rsidR="00E1396D" w:rsidRPr="00E074AB" w:rsidRDefault="00E1396D" w:rsidP="00CA6420">
            <w:pPr>
              <w:jc w:val="both"/>
              <w:rPr>
                <w:sz w:val="16"/>
                <w:szCs w:val="16"/>
              </w:rPr>
            </w:pPr>
            <w:r w:rsidRPr="00E074AB">
              <w:rPr>
                <w:sz w:val="16"/>
                <w:szCs w:val="16"/>
              </w:rPr>
              <w:t>2. Ideiglenes tevékenység esetén naptári naponként 5.000.- Ft. (</w:t>
            </w:r>
            <w:proofErr w:type="spellStart"/>
            <w:r w:rsidRPr="00E074AB">
              <w:rPr>
                <w:sz w:val="16"/>
                <w:szCs w:val="16"/>
              </w:rPr>
              <w:t>Ökr</w:t>
            </w:r>
            <w:proofErr w:type="spellEnd"/>
            <w:r w:rsidRPr="00E074AB">
              <w:rPr>
                <w:sz w:val="16"/>
                <w:szCs w:val="16"/>
              </w:rPr>
              <w:t>. 10. § (2) bekezdés)</w:t>
            </w:r>
          </w:p>
          <w:p w:rsidR="00E1396D" w:rsidRPr="00E074AB" w:rsidRDefault="00E1396D" w:rsidP="00CA6420">
            <w:pPr>
              <w:jc w:val="both"/>
              <w:rPr>
                <w:sz w:val="16"/>
                <w:szCs w:val="16"/>
              </w:rPr>
            </w:pPr>
            <w:r w:rsidRPr="00E074AB">
              <w:rPr>
                <w:b/>
                <w:sz w:val="16"/>
                <w:szCs w:val="16"/>
                <w:u w:val="single"/>
              </w:rPr>
              <w:t>Adómentesség:</w:t>
            </w:r>
            <w:r w:rsidRPr="00E074AB">
              <w:rPr>
                <w:sz w:val="16"/>
                <w:szCs w:val="16"/>
              </w:rPr>
              <w:t xml:space="preserve"> mentes az iparűzési adó alól az a vállalkozó, akinek </w:t>
            </w:r>
            <w:proofErr w:type="spellStart"/>
            <w:r w:rsidRPr="00E074AB">
              <w:rPr>
                <w:sz w:val="16"/>
                <w:szCs w:val="16"/>
              </w:rPr>
              <w:t>Htv</w:t>
            </w:r>
            <w:proofErr w:type="spellEnd"/>
            <w:r w:rsidRPr="00E074AB">
              <w:rPr>
                <w:sz w:val="16"/>
                <w:szCs w:val="16"/>
              </w:rPr>
              <w:t>. szerinti vállalkozási szintű adóalapja nem haladja meg a 750.000.- Ft-ot. Amennyiben az adóalap a 750.000.- Ft-ot meghaladja, úgy a teljes adóalap után kell a helyi iparűzési adót megfizetni. (</w:t>
            </w:r>
            <w:proofErr w:type="spellStart"/>
            <w:r w:rsidRPr="00E074AB">
              <w:rPr>
                <w:sz w:val="16"/>
                <w:szCs w:val="16"/>
              </w:rPr>
              <w:t>Ökr</w:t>
            </w:r>
            <w:proofErr w:type="spellEnd"/>
            <w:r w:rsidRPr="00E074AB">
              <w:rPr>
                <w:sz w:val="16"/>
                <w:szCs w:val="16"/>
              </w:rPr>
              <w:t>. 11. §)</w:t>
            </w:r>
          </w:p>
          <w:p w:rsidR="00E1396D" w:rsidRPr="00E074AB" w:rsidRDefault="00E1396D" w:rsidP="00CA6420">
            <w:pPr>
              <w:jc w:val="both"/>
              <w:rPr>
                <w:sz w:val="16"/>
                <w:szCs w:val="16"/>
              </w:rPr>
            </w:pPr>
            <w:r w:rsidRPr="00E074AB">
              <w:rPr>
                <w:b/>
                <w:sz w:val="16"/>
                <w:szCs w:val="16"/>
                <w:u w:val="single"/>
              </w:rPr>
              <w:t>Bevallás benyújtás határideje, módja:</w:t>
            </w:r>
            <w:r w:rsidRPr="00E074AB">
              <w:rPr>
                <w:sz w:val="16"/>
                <w:szCs w:val="16"/>
              </w:rPr>
              <w:t xml:space="preserve"> </w:t>
            </w:r>
          </w:p>
          <w:p w:rsidR="00E1396D" w:rsidRPr="00E074AB" w:rsidRDefault="00E1396D" w:rsidP="00CA6420">
            <w:pPr>
              <w:jc w:val="both"/>
              <w:rPr>
                <w:sz w:val="16"/>
                <w:szCs w:val="16"/>
              </w:rPr>
            </w:pPr>
            <w:r w:rsidRPr="00E074AB">
              <w:rPr>
                <w:sz w:val="16"/>
                <w:szCs w:val="16"/>
              </w:rPr>
              <w:t xml:space="preserve">A helyi iparűzési adóról, állandó tevékenység esetén, az adóévet követő év május 31-ig (az eltérő üzleti évesek a mérlegforduló napjától számított 5. hónap utolsó napjáig) kell bevallást tenni. Az </w:t>
            </w:r>
            <w:proofErr w:type="spellStart"/>
            <w:r w:rsidRPr="00E074AB">
              <w:rPr>
                <w:sz w:val="16"/>
                <w:szCs w:val="16"/>
              </w:rPr>
              <w:t>adóelőlegkiegészítés</w:t>
            </w:r>
            <w:proofErr w:type="spellEnd"/>
            <w:r w:rsidRPr="00E074AB">
              <w:rPr>
                <w:sz w:val="16"/>
                <w:szCs w:val="16"/>
              </w:rPr>
              <w:t xml:space="preserve"> összegéről (azon vállalkozásoknak, amelyek társasági adóban is feltöltésre kötelezettek) a tárgyév utolsó hónapjának 20. napjáig kell bevallást tennie. Ideiglenes jelleggel végzett iparűzési tevékenység után fizetendő iparűzési adóról –a megfizetés határidejével egyezően- a tevékenység befejezésének napját követő hónap 15. napjáig kell bevallást tenni. (Art. 32. § (1) </w:t>
            </w:r>
            <w:r w:rsidRPr="00E074AB">
              <w:rPr>
                <w:sz w:val="16"/>
                <w:szCs w:val="16"/>
              </w:rPr>
              <w:lastRenderedPageBreak/>
              <w:t>bekezdés.)</w:t>
            </w:r>
          </w:p>
          <w:p w:rsidR="00E1396D" w:rsidRPr="00E074AB" w:rsidRDefault="00E1396D" w:rsidP="00CA6420">
            <w:pPr>
              <w:jc w:val="both"/>
              <w:rPr>
                <w:sz w:val="16"/>
                <w:szCs w:val="16"/>
              </w:rPr>
            </w:pPr>
            <w:r w:rsidRPr="00E074AB">
              <w:rPr>
                <w:sz w:val="16"/>
                <w:szCs w:val="16"/>
              </w:rPr>
              <w:t>A bevallás benyújtható postai úton, vagy személyesen a Polgármesteri Hivatal Adócsoportjánál ügyfélfogadási időben. Várhatóan 2017. adóévtől elektronikus úton, az adóhatóságnál beregisztrált adózók esetében.</w:t>
            </w:r>
          </w:p>
          <w:p w:rsidR="00E1396D" w:rsidRPr="00E074AB" w:rsidRDefault="00E1396D" w:rsidP="00CA6420">
            <w:pPr>
              <w:jc w:val="both"/>
              <w:rPr>
                <w:sz w:val="16"/>
                <w:szCs w:val="16"/>
              </w:rPr>
            </w:pPr>
            <w:r w:rsidRPr="00E074AB">
              <w:rPr>
                <w:b/>
                <w:sz w:val="16"/>
                <w:szCs w:val="16"/>
                <w:u w:val="single"/>
              </w:rPr>
              <w:t>Bevallási nyomtatványok:</w:t>
            </w:r>
            <w:r w:rsidRPr="00E074AB">
              <w:rPr>
                <w:sz w:val="16"/>
                <w:szCs w:val="16"/>
              </w:rPr>
              <w:t xml:space="preserve"> a kitölthető nyomtatványok elérhetők a </w:t>
            </w:r>
            <w:hyperlink r:id="rId5" w:history="1">
              <w:r w:rsidRPr="00E074AB">
                <w:rPr>
                  <w:rStyle w:val="Hiperhivatkozs"/>
                  <w:sz w:val="16"/>
                  <w:szCs w:val="16"/>
                </w:rPr>
                <w:t>www.gyal.hu</w:t>
              </w:r>
            </w:hyperlink>
            <w:r w:rsidRPr="00E074AB">
              <w:rPr>
                <w:sz w:val="16"/>
                <w:szCs w:val="16"/>
              </w:rPr>
              <w:t xml:space="preserve"> honlapon, a letölthető dokumentumok gyors linken.</w:t>
            </w:r>
          </w:p>
          <w:p w:rsidR="00E1396D" w:rsidRPr="00E074AB" w:rsidRDefault="00E1396D" w:rsidP="00CA6420">
            <w:pPr>
              <w:jc w:val="both"/>
              <w:rPr>
                <w:sz w:val="16"/>
                <w:szCs w:val="16"/>
              </w:rPr>
            </w:pPr>
            <w:r w:rsidRPr="00E074AB">
              <w:rPr>
                <w:b/>
                <w:sz w:val="16"/>
                <w:szCs w:val="16"/>
                <w:u w:val="single"/>
              </w:rPr>
              <w:t>Ügyintézési határidő:</w:t>
            </w:r>
            <w:r w:rsidRPr="00E074AB">
              <w:rPr>
                <w:sz w:val="16"/>
                <w:szCs w:val="16"/>
              </w:rPr>
              <w:t xml:space="preserve"> Art. által szabályozott, 30 nap.</w:t>
            </w:r>
          </w:p>
          <w:p w:rsidR="00E1396D" w:rsidRPr="00E074AB" w:rsidRDefault="00E1396D" w:rsidP="00CA6420">
            <w:pPr>
              <w:jc w:val="both"/>
              <w:rPr>
                <w:sz w:val="16"/>
                <w:szCs w:val="16"/>
              </w:rPr>
            </w:pPr>
            <w:r w:rsidRPr="00E074AB">
              <w:rPr>
                <w:b/>
                <w:sz w:val="16"/>
                <w:szCs w:val="16"/>
                <w:u w:val="single"/>
              </w:rPr>
              <w:t>Jogorvoslat lehetősége:</w:t>
            </w:r>
            <w:r w:rsidRPr="00E074AB">
              <w:rPr>
                <w:sz w:val="16"/>
                <w:szCs w:val="16"/>
              </w:rPr>
              <w:t xml:space="preserve"> adózó az ügy érdemében hozott elsőfokú határozat ellen fellebbezhet. A fellebbezést a határozat közlésétől számított 15 napon belül lehet előterjeszteni. (Art. 136. és 137. §)</w:t>
            </w:r>
          </w:p>
          <w:p w:rsidR="00E1396D" w:rsidRPr="00E074AB" w:rsidRDefault="00E1396D" w:rsidP="00CA6420">
            <w:pPr>
              <w:jc w:val="both"/>
              <w:rPr>
                <w:sz w:val="16"/>
                <w:szCs w:val="16"/>
              </w:rPr>
            </w:pPr>
            <w:r w:rsidRPr="00E074AB">
              <w:rPr>
                <w:b/>
                <w:sz w:val="16"/>
                <w:szCs w:val="16"/>
                <w:u w:val="single"/>
              </w:rPr>
              <w:t>Jogkövetkezmények:</w:t>
            </w:r>
            <w:r w:rsidRPr="00E074AB">
              <w:rPr>
                <w:sz w:val="16"/>
                <w:szCs w:val="16"/>
              </w:rPr>
              <w:t xml:space="preserve"> határidőn </w:t>
            </w:r>
            <w:proofErr w:type="gramStart"/>
            <w:r w:rsidRPr="00E074AB">
              <w:rPr>
                <w:sz w:val="16"/>
                <w:szCs w:val="16"/>
              </w:rPr>
              <w:t>túli  adó</w:t>
            </w:r>
            <w:proofErr w:type="gramEnd"/>
            <w:r w:rsidRPr="00E074AB">
              <w:rPr>
                <w:sz w:val="16"/>
                <w:szCs w:val="16"/>
              </w:rPr>
              <w:t xml:space="preserve"> megfizetés esetén késedelmi pótlék megfizetése (Art. 165. § (1)-(2) bekezdések), késedelmes bevallás, bejelentkezés benyújtás, vagy bevallás, bejelentkezés elmulasztása </w:t>
            </w:r>
            <w:proofErr w:type="gramStart"/>
            <w:r w:rsidRPr="00E074AB">
              <w:rPr>
                <w:sz w:val="16"/>
                <w:szCs w:val="16"/>
              </w:rPr>
              <w:t>esetén  mulasztási</w:t>
            </w:r>
            <w:proofErr w:type="gramEnd"/>
            <w:r w:rsidRPr="00E074AB">
              <w:rPr>
                <w:sz w:val="16"/>
                <w:szCs w:val="16"/>
              </w:rPr>
              <w:t xml:space="preserve"> bírság megállapítása (Art. 172. §)</w:t>
            </w:r>
          </w:p>
          <w:p w:rsidR="00E1396D" w:rsidRPr="00E074AB" w:rsidRDefault="00E1396D" w:rsidP="00CA6420">
            <w:pPr>
              <w:rPr>
                <w:sz w:val="16"/>
                <w:szCs w:val="16"/>
              </w:rPr>
            </w:pPr>
          </w:p>
        </w:tc>
        <w:tc>
          <w:tcPr>
            <w:tcW w:w="1458" w:type="dxa"/>
            <w:shd w:val="clear" w:color="auto" w:fill="auto"/>
          </w:tcPr>
          <w:p w:rsidR="00E1396D" w:rsidRPr="00E074AB" w:rsidRDefault="00E1396D" w:rsidP="00CA6420">
            <w:pPr>
              <w:jc w:val="both"/>
              <w:rPr>
                <w:b/>
                <w:sz w:val="18"/>
                <w:szCs w:val="18"/>
              </w:rPr>
            </w:pPr>
            <w:r w:rsidRPr="00E074AB">
              <w:rPr>
                <w:b/>
                <w:sz w:val="18"/>
                <w:szCs w:val="18"/>
              </w:rPr>
              <w:lastRenderedPageBreak/>
              <w:t>Szalainé Nagy Orsolya</w:t>
            </w:r>
          </w:p>
          <w:p w:rsidR="00E1396D" w:rsidRPr="00E074AB" w:rsidRDefault="00E1396D" w:rsidP="00CA6420">
            <w:pPr>
              <w:jc w:val="both"/>
              <w:rPr>
                <w:b/>
                <w:sz w:val="20"/>
                <w:szCs w:val="20"/>
              </w:rPr>
            </w:pPr>
            <w:r w:rsidRPr="00E074AB">
              <w:rPr>
                <w:b/>
                <w:sz w:val="18"/>
                <w:szCs w:val="18"/>
              </w:rPr>
              <w:t>06-29/540-948</w:t>
            </w:r>
          </w:p>
        </w:tc>
        <w:tc>
          <w:tcPr>
            <w:tcW w:w="1422" w:type="dxa"/>
            <w:shd w:val="clear" w:color="auto" w:fill="auto"/>
          </w:tcPr>
          <w:p w:rsidR="00E1396D" w:rsidRPr="00E074AB" w:rsidRDefault="00E1396D" w:rsidP="00CA6420">
            <w:pPr>
              <w:jc w:val="both"/>
              <w:rPr>
                <w:sz w:val="18"/>
                <w:szCs w:val="18"/>
              </w:rPr>
            </w:pPr>
            <w:r w:rsidRPr="00E074AB">
              <w:rPr>
                <w:sz w:val="18"/>
                <w:szCs w:val="18"/>
              </w:rPr>
              <w:t xml:space="preserve">2360 Gyál </w:t>
            </w:r>
          </w:p>
          <w:p w:rsidR="00E1396D" w:rsidRPr="00E074AB" w:rsidRDefault="00E1396D" w:rsidP="00CA6420">
            <w:pPr>
              <w:jc w:val="both"/>
              <w:rPr>
                <w:sz w:val="18"/>
                <w:szCs w:val="18"/>
              </w:rPr>
            </w:pPr>
            <w:r w:rsidRPr="00E074AB">
              <w:rPr>
                <w:sz w:val="18"/>
                <w:szCs w:val="18"/>
              </w:rPr>
              <w:t xml:space="preserve">Kőrösi út </w:t>
            </w:r>
          </w:p>
          <w:p w:rsidR="00E1396D" w:rsidRPr="00E074AB" w:rsidRDefault="00E1396D" w:rsidP="00CA6420">
            <w:pPr>
              <w:jc w:val="both"/>
              <w:rPr>
                <w:sz w:val="18"/>
                <w:szCs w:val="18"/>
              </w:rPr>
            </w:pPr>
            <w:r w:rsidRPr="00E074AB">
              <w:rPr>
                <w:sz w:val="18"/>
                <w:szCs w:val="18"/>
              </w:rPr>
              <w:t>112-114. fsz. 3.</w:t>
            </w:r>
          </w:p>
          <w:p w:rsidR="00E1396D" w:rsidRPr="00E074AB" w:rsidRDefault="00E1396D" w:rsidP="00CA6420">
            <w:pPr>
              <w:jc w:val="both"/>
              <w:rPr>
                <w:sz w:val="18"/>
                <w:szCs w:val="18"/>
              </w:rPr>
            </w:pPr>
          </w:p>
          <w:p w:rsidR="00E1396D" w:rsidRPr="00E074AB" w:rsidRDefault="00E1396D" w:rsidP="00CA6420">
            <w:pPr>
              <w:jc w:val="both"/>
              <w:rPr>
                <w:i/>
                <w:sz w:val="18"/>
                <w:szCs w:val="18"/>
                <w:u w:val="single"/>
              </w:rPr>
            </w:pPr>
            <w:r w:rsidRPr="00E074AB">
              <w:rPr>
                <w:i/>
                <w:sz w:val="18"/>
                <w:szCs w:val="18"/>
                <w:u w:val="single"/>
              </w:rPr>
              <w:t>Ügyfélfogadás:</w:t>
            </w:r>
          </w:p>
          <w:p w:rsidR="00E1396D" w:rsidRPr="00E074AB" w:rsidRDefault="00E1396D" w:rsidP="00CA6420">
            <w:pPr>
              <w:jc w:val="both"/>
              <w:rPr>
                <w:i/>
                <w:sz w:val="18"/>
                <w:szCs w:val="18"/>
              </w:rPr>
            </w:pPr>
            <w:r w:rsidRPr="00E074AB">
              <w:rPr>
                <w:i/>
                <w:sz w:val="18"/>
                <w:szCs w:val="18"/>
              </w:rPr>
              <w:t xml:space="preserve">Hétfő: </w:t>
            </w:r>
          </w:p>
          <w:p w:rsidR="00E1396D" w:rsidRPr="00E074AB" w:rsidRDefault="00E1396D" w:rsidP="00CA6420">
            <w:pPr>
              <w:jc w:val="both"/>
              <w:rPr>
                <w:i/>
                <w:sz w:val="18"/>
                <w:szCs w:val="18"/>
              </w:rPr>
            </w:pPr>
            <w:r w:rsidRPr="00E074AB">
              <w:rPr>
                <w:i/>
                <w:sz w:val="18"/>
                <w:szCs w:val="18"/>
              </w:rPr>
              <w:t>12,30-15,30</w:t>
            </w:r>
          </w:p>
          <w:p w:rsidR="00E1396D" w:rsidRPr="00E074AB" w:rsidRDefault="00E1396D" w:rsidP="00CA6420">
            <w:pPr>
              <w:jc w:val="both"/>
              <w:rPr>
                <w:i/>
                <w:sz w:val="18"/>
                <w:szCs w:val="18"/>
              </w:rPr>
            </w:pPr>
            <w:r w:rsidRPr="00E074AB">
              <w:rPr>
                <w:i/>
                <w:sz w:val="18"/>
                <w:szCs w:val="18"/>
              </w:rPr>
              <w:t>Szerda:</w:t>
            </w:r>
          </w:p>
          <w:p w:rsidR="00E1396D" w:rsidRPr="00E074AB" w:rsidRDefault="00E1396D" w:rsidP="00CA6420">
            <w:pPr>
              <w:jc w:val="both"/>
              <w:rPr>
                <w:i/>
                <w:sz w:val="18"/>
                <w:szCs w:val="18"/>
              </w:rPr>
            </w:pPr>
            <w:r w:rsidRPr="00E074AB">
              <w:rPr>
                <w:i/>
                <w:sz w:val="18"/>
                <w:szCs w:val="18"/>
              </w:rPr>
              <w:t>12,30-17,45</w:t>
            </w:r>
          </w:p>
          <w:p w:rsidR="00E1396D" w:rsidRPr="00E074AB" w:rsidRDefault="00E1396D" w:rsidP="00CA6420">
            <w:pPr>
              <w:jc w:val="both"/>
              <w:rPr>
                <w:i/>
                <w:sz w:val="18"/>
                <w:szCs w:val="18"/>
              </w:rPr>
            </w:pPr>
            <w:r w:rsidRPr="00E074AB">
              <w:rPr>
                <w:i/>
                <w:sz w:val="18"/>
                <w:szCs w:val="18"/>
              </w:rPr>
              <w:t>Péntek:</w:t>
            </w:r>
          </w:p>
          <w:p w:rsidR="00E1396D" w:rsidRPr="00E074AB" w:rsidRDefault="00E1396D" w:rsidP="00CA6420">
            <w:pPr>
              <w:jc w:val="both"/>
              <w:rPr>
                <w:i/>
                <w:sz w:val="18"/>
                <w:szCs w:val="18"/>
              </w:rPr>
            </w:pPr>
            <w:r w:rsidRPr="00E074AB">
              <w:rPr>
                <w:i/>
                <w:sz w:val="18"/>
                <w:szCs w:val="18"/>
              </w:rPr>
              <w:t>8,00-12,00</w:t>
            </w:r>
          </w:p>
          <w:p w:rsidR="00E1396D" w:rsidRPr="00E074AB" w:rsidRDefault="00E1396D" w:rsidP="00CA6420">
            <w:pPr>
              <w:jc w:val="both"/>
              <w:rPr>
                <w:sz w:val="20"/>
                <w:szCs w:val="20"/>
              </w:rPr>
            </w:pPr>
          </w:p>
        </w:tc>
        <w:tc>
          <w:tcPr>
            <w:tcW w:w="2952" w:type="dxa"/>
            <w:gridSpan w:val="2"/>
            <w:shd w:val="clear" w:color="auto" w:fill="auto"/>
          </w:tcPr>
          <w:p w:rsidR="00E1396D" w:rsidRPr="00E074AB" w:rsidRDefault="00E1396D" w:rsidP="00CA6420">
            <w:pPr>
              <w:jc w:val="both"/>
              <w:rPr>
                <w:sz w:val="16"/>
                <w:szCs w:val="16"/>
              </w:rPr>
            </w:pPr>
            <w:r w:rsidRPr="00E074AB">
              <w:rPr>
                <w:sz w:val="16"/>
                <w:szCs w:val="16"/>
              </w:rPr>
              <w:t>A helyi adókról szóló 1990. évi C. törvény (</w:t>
            </w:r>
            <w:proofErr w:type="spellStart"/>
            <w:r w:rsidRPr="00E074AB">
              <w:rPr>
                <w:sz w:val="16"/>
                <w:szCs w:val="16"/>
              </w:rPr>
              <w:t>Htv</w:t>
            </w:r>
            <w:proofErr w:type="spellEnd"/>
            <w:r w:rsidRPr="00E074AB">
              <w:rPr>
                <w:sz w:val="16"/>
                <w:szCs w:val="16"/>
              </w:rPr>
              <w:t>.),</w:t>
            </w:r>
          </w:p>
          <w:p w:rsidR="00E1396D" w:rsidRPr="00E074AB" w:rsidRDefault="00E1396D" w:rsidP="00CA6420">
            <w:pPr>
              <w:jc w:val="both"/>
              <w:rPr>
                <w:sz w:val="16"/>
                <w:szCs w:val="16"/>
              </w:rPr>
            </w:pPr>
            <w:r w:rsidRPr="00E074AB">
              <w:rPr>
                <w:sz w:val="16"/>
                <w:szCs w:val="16"/>
              </w:rPr>
              <w:t xml:space="preserve">Gyál Város </w:t>
            </w:r>
            <w:proofErr w:type="gramStart"/>
            <w:r w:rsidRPr="00E074AB">
              <w:rPr>
                <w:sz w:val="16"/>
                <w:szCs w:val="16"/>
              </w:rPr>
              <w:t>Önkorm</w:t>
            </w:r>
            <w:r>
              <w:rPr>
                <w:sz w:val="16"/>
                <w:szCs w:val="16"/>
              </w:rPr>
              <w:t xml:space="preserve">ányzata  </w:t>
            </w:r>
            <w:proofErr w:type="spellStart"/>
            <w:r>
              <w:rPr>
                <w:sz w:val="16"/>
                <w:szCs w:val="16"/>
              </w:rPr>
              <w:t>Képviselő-Testületének</w:t>
            </w:r>
            <w:proofErr w:type="spellEnd"/>
            <w:proofErr w:type="gramEnd"/>
            <w:r>
              <w:rPr>
                <w:sz w:val="16"/>
                <w:szCs w:val="16"/>
              </w:rPr>
              <w:t xml:space="preserve"> </w:t>
            </w:r>
            <w:r w:rsidRPr="00E074AB">
              <w:rPr>
                <w:sz w:val="16"/>
                <w:szCs w:val="16"/>
              </w:rPr>
              <w:t>21/2015.(XI.30.) önkormányzati rendelete a helyi adókról (</w:t>
            </w:r>
            <w:proofErr w:type="spellStart"/>
            <w:r w:rsidRPr="00E074AB">
              <w:rPr>
                <w:sz w:val="16"/>
                <w:szCs w:val="16"/>
              </w:rPr>
              <w:t>Ökr</w:t>
            </w:r>
            <w:proofErr w:type="spellEnd"/>
            <w:r w:rsidRPr="00E074AB">
              <w:rPr>
                <w:sz w:val="16"/>
                <w:szCs w:val="16"/>
              </w:rPr>
              <w:t>.),</w:t>
            </w:r>
          </w:p>
          <w:p w:rsidR="00E1396D" w:rsidRPr="00E074AB" w:rsidRDefault="00E1396D" w:rsidP="00CA6420">
            <w:pPr>
              <w:jc w:val="both"/>
              <w:rPr>
                <w:sz w:val="16"/>
                <w:szCs w:val="16"/>
              </w:rPr>
            </w:pPr>
            <w:r w:rsidRPr="00E074AB">
              <w:rPr>
                <w:sz w:val="16"/>
                <w:szCs w:val="16"/>
              </w:rPr>
              <w:t>az adózás rendjéről szóló 2003. évi XCII. törvény (Art.),</w:t>
            </w:r>
          </w:p>
          <w:p w:rsidR="00E1396D" w:rsidRPr="00E074AB" w:rsidRDefault="00E1396D" w:rsidP="00CA6420">
            <w:pPr>
              <w:jc w:val="both"/>
              <w:rPr>
                <w:sz w:val="16"/>
                <w:szCs w:val="16"/>
              </w:rPr>
            </w:pPr>
            <w:r w:rsidRPr="00E074AB">
              <w:rPr>
                <w:sz w:val="16"/>
                <w:szCs w:val="16"/>
              </w:rPr>
              <w:t>a társasági adóról és az osztalékadóról szóló 1996. évi LXXXI. törvény,</w:t>
            </w:r>
          </w:p>
          <w:p w:rsidR="00E1396D" w:rsidRPr="00E074AB" w:rsidRDefault="00E1396D" w:rsidP="00CA6420">
            <w:pPr>
              <w:jc w:val="both"/>
              <w:rPr>
                <w:sz w:val="16"/>
                <w:szCs w:val="16"/>
              </w:rPr>
            </w:pPr>
            <w:r w:rsidRPr="00E074AB">
              <w:rPr>
                <w:sz w:val="16"/>
                <w:szCs w:val="16"/>
              </w:rPr>
              <w:t>az egyéni vállalkozóról és az egyéni cégről szóló 2009. évi CXV. törvény.</w:t>
            </w:r>
          </w:p>
          <w:p w:rsidR="00E1396D" w:rsidRPr="00E074AB" w:rsidRDefault="00E1396D" w:rsidP="00CA6420">
            <w:pPr>
              <w:ind w:right="-544"/>
              <w:jc w:val="both"/>
              <w:rPr>
                <w:sz w:val="20"/>
                <w:szCs w:val="20"/>
              </w:rPr>
            </w:pPr>
          </w:p>
        </w:tc>
      </w:tr>
      <w:tr w:rsidR="00E1396D" w:rsidTr="00E1396D">
        <w:trPr>
          <w:trHeight w:val="55"/>
        </w:trPr>
        <w:tc>
          <w:tcPr>
            <w:tcW w:w="1440" w:type="dxa"/>
            <w:gridSpan w:val="2"/>
            <w:shd w:val="clear" w:color="auto" w:fill="auto"/>
          </w:tcPr>
          <w:p w:rsidR="00E1396D" w:rsidRPr="00E074AB" w:rsidRDefault="00E1396D" w:rsidP="00CA6420">
            <w:pPr>
              <w:rPr>
                <w:sz w:val="20"/>
                <w:szCs w:val="20"/>
              </w:rPr>
            </w:pPr>
          </w:p>
        </w:tc>
        <w:tc>
          <w:tcPr>
            <w:tcW w:w="2988" w:type="dxa"/>
            <w:shd w:val="clear" w:color="auto" w:fill="auto"/>
          </w:tcPr>
          <w:p w:rsidR="00E1396D" w:rsidRPr="00E074AB" w:rsidRDefault="00E1396D" w:rsidP="00CA6420">
            <w:pPr>
              <w:rPr>
                <w:sz w:val="22"/>
                <w:szCs w:val="22"/>
              </w:rPr>
            </w:pPr>
          </w:p>
        </w:tc>
        <w:tc>
          <w:tcPr>
            <w:tcW w:w="1458" w:type="dxa"/>
            <w:shd w:val="clear" w:color="auto" w:fill="auto"/>
          </w:tcPr>
          <w:p w:rsidR="00E1396D" w:rsidRPr="00E074AB" w:rsidRDefault="00E1396D" w:rsidP="00CA6420">
            <w:pPr>
              <w:rPr>
                <w:sz w:val="22"/>
                <w:szCs w:val="22"/>
              </w:rPr>
            </w:pPr>
          </w:p>
        </w:tc>
        <w:tc>
          <w:tcPr>
            <w:tcW w:w="1422" w:type="dxa"/>
            <w:shd w:val="clear" w:color="auto" w:fill="auto"/>
          </w:tcPr>
          <w:p w:rsidR="00E1396D" w:rsidRPr="00E074AB" w:rsidRDefault="00E1396D" w:rsidP="00CA6420">
            <w:pPr>
              <w:rPr>
                <w:sz w:val="22"/>
                <w:szCs w:val="22"/>
              </w:rPr>
            </w:pPr>
          </w:p>
        </w:tc>
        <w:tc>
          <w:tcPr>
            <w:tcW w:w="2952" w:type="dxa"/>
            <w:gridSpan w:val="2"/>
            <w:shd w:val="clear" w:color="auto" w:fill="auto"/>
          </w:tcPr>
          <w:p w:rsidR="00E1396D" w:rsidRPr="00E074AB" w:rsidRDefault="00E1396D" w:rsidP="00CA6420">
            <w:pPr>
              <w:rPr>
                <w:sz w:val="22"/>
                <w:szCs w:val="22"/>
              </w:rPr>
            </w:pPr>
          </w:p>
        </w:tc>
      </w:tr>
    </w:tbl>
    <w:p w:rsidR="00826CAD" w:rsidRDefault="00826CAD"/>
    <w:sectPr w:rsidR="00826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6D"/>
    <w:rsid w:val="00826CAD"/>
    <w:rsid w:val="00E139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396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E139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396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E13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yal.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3585</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SuhajdaYvett</dc:creator>
  <cp:lastModifiedBy>SuhajdaYvett</cp:lastModifiedBy>
  <cp:revision>1</cp:revision>
  <dcterms:created xsi:type="dcterms:W3CDTF">2016-11-20T14:58:00Z</dcterms:created>
  <dcterms:modified xsi:type="dcterms:W3CDTF">2016-11-20T15:00:00Z</dcterms:modified>
</cp:coreProperties>
</file>