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F0E1A" w:rsidTr="00775625">
        <w:trPr>
          <w:trHeight w:val="709"/>
        </w:trPr>
        <w:tc>
          <w:tcPr>
            <w:tcW w:w="9212" w:type="dxa"/>
            <w:tcBorders>
              <w:top w:val="single" w:sz="4" w:space="0" w:color="auto"/>
              <w:left w:val="single" w:sz="4" w:space="0" w:color="auto"/>
              <w:bottom w:val="single" w:sz="4" w:space="0" w:color="auto"/>
              <w:right w:val="single" w:sz="4" w:space="0" w:color="auto"/>
            </w:tcBorders>
            <w:shd w:val="clear" w:color="auto" w:fill="CCCCCC"/>
          </w:tcPr>
          <w:p w:rsidR="009F0E1A" w:rsidRPr="00E074AB" w:rsidRDefault="009F0E1A" w:rsidP="00775625">
            <w:pPr>
              <w:ind w:right="-4" w:hanging="180"/>
              <w:jc w:val="center"/>
              <w:rPr>
                <w:b/>
              </w:rPr>
            </w:pPr>
            <w:r w:rsidRPr="00E074AB">
              <w:rPr>
                <w:b/>
              </w:rPr>
              <w:t>ÜGYMENET LEÍRÁS</w:t>
            </w:r>
          </w:p>
          <w:p w:rsidR="009F0E1A" w:rsidRPr="00E074AB" w:rsidRDefault="009F0E1A" w:rsidP="00775625">
            <w:pPr>
              <w:jc w:val="center"/>
              <w:rPr>
                <w:b/>
              </w:rPr>
            </w:pPr>
            <w:r>
              <w:rPr>
                <w:b/>
              </w:rPr>
              <w:t>IGAZGATÁSI</w:t>
            </w:r>
            <w:r w:rsidRPr="00E074AB">
              <w:rPr>
                <w:b/>
              </w:rPr>
              <w:t xml:space="preserve"> IRODA</w:t>
            </w:r>
          </w:p>
          <w:p w:rsidR="009F0E1A" w:rsidRPr="00E074AB" w:rsidRDefault="009F0E1A" w:rsidP="00775625">
            <w:pPr>
              <w:jc w:val="center"/>
              <w:rPr>
                <w:b/>
              </w:rPr>
            </w:pPr>
            <w:r>
              <w:rPr>
                <w:b/>
              </w:rPr>
              <w:t xml:space="preserve">Általános Igazgatási </w:t>
            </w:r>
            <w:r w:rsidRPr="00E074AB">
              <w:rPr>
                <w:b/>
              </w:rPr>
              <w:t>csoport</w:t>
            </w:r>
            <w:r>
              <w:rPr>
                <w:b/>
              </w:rPr>
              <w:t>, Anyakönyv</w:t>
            </w:r>
          </w:p>
        </w:tc>
      </w:tr>
    </w:tbl>
    <w:p w:rsidR="00EB5B5C" w:rsidRDefault="00EB5B5C"/>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985"/>
        <w:gridCol w:w="1332"/>
        <w:gridCol w:w="1440"/>
        <w:gridCol w:w="3057"/>
      </w:tblGrid>
      <w:tr w:rsidR="009F0E1A" w:rsidRPr="00E074AB" w:rsidTr="00775625">
        <w:tc>
          <w:tcPr>
            <w:tcW w:w="1446" w:type="dxa"/>
            <w:shd w:val="clear" w:color="auto" w:fill="E0E0E0"/>
          </w:tcPr>
          <w:p w:rsidR="009F0E1A" w:rsidRPr="00E074AB" w:rsidRDefault="009F0E1A" w:rsidP="00775625">
            <w:pPr>
              <w:rPr>
                <w:sz w:val="22"/>
                <w:szCs w:val="22"/>
              </w:rPr>
            </w:pPr>
            <w:r w:rsidRPr="00E074AB">
              <w:rPr>
                <w:sz w:val="22"/>
                <w:szCs w:val="22"/>
              </w:rPr>
              <w:t>Ügytípus</w:t>
            </w:r>
          </w:p>
        </w:tc>
        <w:tc>
          <w:tcPr>
            <w:tcW w:w="2985" w:type="dxa"/>
            <w:shd w:val="clear" w:color="auto" w:fill="E0E0E0"/>
          </w:tcPr>
          <w:p w:rsidR="009F0E1A" w:rsidRPr="00E074AB" w:rsidRDefault="009F0E1A" w:rsidP="00775625">
            <w:pPr>
              <w:rPr>
                <w:sz w:val="22"/>
                <w:szCs w:val="22"/>
              </w:rPr>
            </w:pPr>
            <w:r w:rsidRPr="00E074AB">
              <w:rPr>
                <w:sz w:val="22"/>
                <w:szCs w:val="22"/>
              </w:rPr>
              <w:t>Rövid leírás</w:t>
            </w:r>
          </w:p>
        </w:tc>
        <w:tc>
          <w:tcPr>
            <w:tcW w:w="1332" w:type="dxa"/>
            <w:shd w:val="clear" w:color="auto" w:fill="E0E0E0"/>
          </w:tcPr>
          <w:p w:rsidR="009F0E1A" w:rsidRPr="00E074AB" w:rsidRDefault="009F0E1A" w:rsidP="00775625">
            <w:pPr>
              <w:rPr>
                <w:sz w:val="22"/>
                <w:szCs w:val="22"/>
              </w:rPr>
            </w:pPr>
            <w:r w:rsidRPr="00E074AB">
              <w:rPr>
                <w:sz w:val="22"/>
                <w:szCs w:val="22"/>
              </w:rPr>
              <w:t>Ügyintéző/</w:t>
            </w:r>
          </w:p>
          <w:p w:rsidR="009F0E1A" w:rsidRPr="00E074AB" w:rsidRDefault="009F0E1A" w:rsidP="00775625">
            <w:pPr>
              <w:rPr>
                <w:sz w:val="22"/>
                <w:szCs w:val="22"/>
              </w:rPr>
            </w:pPr>
            <w:r w:rsidRPr="00E074AB">
              <w:rPr>
                <w:sz w:val="22"/>
                <w:szCs w:val="22"/>
              </w:rPr>
              <w:t>elérhetőség</w:t>
            </w:r>
          </w:p>
        </w:tc>
        <w:tc>
          <w:tcPr>
            <w:tcW w:w="1440" w:type="dxa"/>
            <w:shd w:val="clear" w:color="auto" w:fill="E0E0E0"/>
          </w:tcPr>
          <w:p w:rsidR="009F0E1A" w:rsidRPr="00E074AB" w:rsidRDefault="009F0E1A" w:rsidP="00775625">
            <w:pPr>
              <w:rPr>
                <w:sz w:val="22"/>
                <w:szCs w:val="22"/>
              </w:rPr>
            </w:pPr>
            <w:r w:rsidRPr="00E074AB">
              <w:rPr>
                <w:sz w:val="22"/>
                <w:szCs w:val="22"/>
              </w:rPr>
              <w:t>Ügyintézés helye, időpontja</w:t>
            </w:r>
          </w:p>
        </w:tc>
        <w:tc>
          <w:tcPr>
            <w:tcW w:w="3057" w:type="dxa"/>
            <w:shd w:val="clear" w:color="auto" w:fill="E0E0E0"/>
          </w:tcPr>
          <w:p w:rsidR="009F0E1A" w:rsidRPr="00E074AB" w:rsidRDefault="009F0E1A" w:rsidP="00775625">
            <w:pPr>
              <w:rPr>
                <w:sz w:val="20"/>
                <w:szCs w:val="20"/>
              </w:rPr>
            </w:pPr>
            <w:r w:rsidRPr="00E074AB">
              <w:rPr>
                <w:sz w:val="20"/>
                <w:szCs w:val="20"/>
              </w:rPr>
              <w:t>Jogszabályi háttér</w:t>
            </w:r>
          </w:p>
        </w:tc>
      </w:tr>
    </w:tbl>
    <w:p w:rsidR="009F0E1A" w:rsidRDefault="009F0E1A">
      <w:r>
        <w:tab/>
      </w:r>
      <w:r>
        <w:tab/>
      </w:r>
      <w:r>
        <w:tab/>
      </w:r>
      <w:r>
        <w:tab/>
      </w:r>
      <w:r>
        <w:tab/>
      </w:r>
      <w:r>
        <w:tab/>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985"/>
        <w:gridCol w:w="1332"/>
        <w:gridCol w:w="1440"/>
        <w:gridCol w:w="3057"/>
      </w:tblGrid>
      <w:tr w:rsidR="009F0E1A" w:rsidRPr="00C10505" w:rsidTr="00775625">
        <w:trPr>
          <w:trHeight w:val="7702"/>
        </w:trPr>
        <w:tc>
          <w:tcPr>
            <w:tcW w:w="1446" w:type="dxa"/>
            <w:shd w:val="clear" w:color="auto" w:fill="auto"/>
          </w:tcPr>
          <w:p w:rsidR="009F0E1A" w:rsidRPr="00E074AB" w:rsidRDefault="009F0E1A" w:rsidP="00775625">
            <w:pPr>
              <w:rPr>
                <w:b/>
                <w:sz w:val="18"/>
                <w:szCs w:val="18"/>
              </w:rPr>
            </w:pPr>
            <w:bookmarkStart w:id="0" w:name="_GoBack"/>
            <w:r>
              <w:rPr>
                <w:b/>
                <w:sz w:val="18"/>
                <w:szCs w:val="18"/>
              </w:rPr>
              <w:t>Születés anyakönyvezése</w:t>
            </w:r>
          </w:p>
          <w:bookmarkEnd w:id="0"/>
          <w:p w:rsidR="009F0E1A" w:rsidRPr="00E074AB" w:rsidRDefault="009F0E1A" w:rsidP="00775625">
            <w:pPr>
              <w:jc w:val="both"/>
              <w:rPr>
                <w:b/>
                <w:sz w:val="18"/>
                <w:szCs w:val="18"/>
              </w:rPr>
            </w:pPr>
          </w:p>
          <w:p w:rsidR="009F0E1A" w:rsidRPr="00E074AB" w:rsidRDefault="009F0E1A" w:rsidP="00775625">
            <w:pPr>
              <w:jc w:val="both"/>
              <w:rPr>
                <w:b/>
                <w:sz w:val="20"/>
                <w:szCs w:val="20"/>
              </w:rPr>
            </w:pPr>
          </w:p>
          <w:p w:rsidR="009F0E1A" w:rsidRPr="00E074AB" w:rsidRDefault="009F0E1A" w:rsidP="00775625">
            <w:pPr>
              <w:jc w:val="both"/>
              <w:rPr>
                <w:b/>
                <w:sz w:val="20"/>
                <w:szCs w:val="20"/>
              </w:rPr>
            </w:pPr>
          </w:p>
          <w:p w:rsidR="009F0E1A" w:rsidRPr="00E074AB" w:rsidRDefault="009F0E1A" w:rsidP="00775625">
            <w:pPr>
              <w:jc w:val="both"/>
              <w:rPr>
                <w:b/>
                <w:sz w:val="20"/>
                <w:szCs w:val="20"/>
              </w:rPr>
            </w:pPr>
          </w:p>
          <w:p w:rsidR="009F0E1A" w:rsidRPr="00E074AB" w:rsidRDefault="009F0E1A" w:rsidP="00775625">
            <w:pPr>
              <w:jc w:val="both"/>
              <w:rPr>
                <w:b/>
                <w:sz w:val="20"/>
                <w:szCs w:val="20"/>
              </w:rPr>
            </w:pPr>
          </w:p>
          <w:p w:rsidR="009F0E1A" w:rsidRPr="00E074AB" w:rsidRDefault="009F0E1A" w:rsidP="00775625">
            <w:pPr>
              <w:jc w:val="both"/>
              <w:rPr>
                <w:b/>
                <w:sz w:val="20"/>
                <w:szCs w:val="20"/>
              </w:rPr>
            </w:pPr>
          </w:p>
          <w:p w:rsidR="009F0E1A" w:rsidRPr="00E074AB" w:rsidRDefault="009F0E1A" w:rsidP="00775625">
            <w:pPr>
              <w:jc w:val="both"/>
              <w:rPr>
                <w:b/>
                <w:sz w:val="20"/>
                <w:szCs w:val="20"/>
              </w:rPr>
            </w:pPr>
          </w:p>
          <w:p w:rsidR="009F0E1A" w:rsidRPr="00E074AB" w:rsidRDefault="009F0E1A" w:rsidP="00775625">
            <w:pPr>
              <w:jc w:val="both"/>
              <w:rPr>
                <w:b/>
                <w:sz w:val="20"/>
                <w:szCs w:val="20"/>
              </w:rPr>
            </w:pPr>
          </w:p>
          <w:p w:rsidR="009F0E1A" w:rsidRPr="00E074AB" w:rsidRDefault="009F0E1A" w:rsidP="00775625">
            <w:pPr>
              <w:jc w:val="both"/>
              <w:rPr>
                <w:b/>
                <w:sz w:val="20"/>
                <w:szCs w:val="20"/>
              </w:rPr>
            </w:pPr>
          </w:p>
        </w:tc>
        <w:tc>
          <w:tcPr>
            <w:tcW w:w="2985" w:type="dxa"/>
            <w:shd w:val="clear" w:color="auto" w:fill="auto"/>
          </w:tcPr>
          <w:p w:rsidR="009F0E1A" w:rsidRPr="001442F0" w:rsidRDefault="009F0E1A" w:rsidP="00775625">
            <w:pPr>
              <w:pStyle w:val="Default"/>
              <w:rPr>
                <w:rFonts w:ascii="Times New Roman" w:hAnsi="Times New Roman" w:cs="Times New Roman"/>
                <w:sz w:val="16"/>
                <w:szCs w:val="16"/>
              </w:rPr>
            </w:pPr>
            <w:r w:rsidRPr="001442F0">
              <w:rPr>
                <w:rFonts w:ascii="Times New Roman" w:hAnsi="Times New Roman" w:cs="Times New Roman"/>
                <w:sz w:val="16"/>
                <w:szCs w:val="16"/>
              </w:rPr>
              <w:t xml:space="preserve">A születést anyakönyvezés végett az illetékes anyakönyvvezetőnél be kell jelenteni. A bejelentéssel egyidejűleg a bejelentő közli és igazolja mindazokat az adatokat, amelyek az anyakönyvezéshez szükségesek. A születést szülész-nőgyógyász szakorvos igazolja. A születés tényét tervezett intézeten kívüli szülés </w:t>
            </w:r>
            <w:proofErr w:type="gramStart"/>
            <w:r w:rsidRPr="001442F0">
              <w:rPr>
                <w:rFonts w:ascii="Times New Roman" w:hAnsi="Times New Roman" w:cs="Times New Roman"/>
                <w:sz w:val="16"/>
                <w:szCs w:val="16"/>
              </w:rPr>
              <w:t>esetén</w:t>
            </w:r>
            <w:proofErr w:type="gramEnd"/>
            <w:r w:rsidRPr="001442F0">
              <w:rPr>
                <w:rFonts w:ascii="Times New Roman" w:hAnsi="Times New Roman" w:cs="Times New Roman"/>
                <w:sz w:val="16"/>
                <w:szCs w:val="16"/>
              </w:rPr>
              <w:t xml:space="preserve"> az intézeten kívüli szülésről szóló kormányrendeletben meghatározott felelős személy igazolja. Az intézetben történt születést az intézet vezetője jelenti be.</w:t>
            </w:r>
          </w:p>
          <w:p w:rsidR="009F0E1A" w:rsidRDefault="009F0E1A" w:rsidP="00775625">
            <w:pPr>
              <w:rPr>
                <w:sz w:val="16"/>
                <w:szCs w:val="16"/>
              </w:rPr>
            </w:pPr>
            <w:r w:rsidRPr="001442F0">
              <w:rPr>
                <w:b/>
                <w:sz w:val="16"/>
                <w:szCs w:val="16"/>
                <w:u w:val="single"/>
              </w:rPr>
              <w:t>Eljárás kezdeményezésére jogosult</w:t>
            </w:r>
            <w:r w:rsidRPr="001442F0">
              <w:rPr>
                <w:b/>
                <w:sz w:val="16"/>
                <w:szCs w:val="16"/>
              </w:rPr>
              <w:t>:</w:t>
            </w:r>
          </w:p>
          <w:p w:rsidR="009F0E1A" w:rsidRDefault="009F0E1A" w:rsidP="00775625">
            <w:pPr>
              <w:rPr>
                <w:b/>
                <w:sz w:val="16"/>
                <w:szCs w:val="16"/>
                <w:u w:val="single"/>
              </w:rPr>
            </w:pPr>
            <w:r w:rsidRPr="001442F0">
              <w:rPr>
                <w:sz w:val="16"/>
                <w:szCs w:val="16"/>
              </w:rPr>
              <w:t xml:space="preserve">Az intézeten kívüli születést a szülő, tervezett intézeten kívüli szülés </w:t>
            </w:r>
            <w:proofErr w:type="gramStart"/>
            <w:r w:rsidRPr="001442F0">
              <w:rPr>
                <w:sz w:val="16"/>
                <w:szCs w:val="16"/>
              </w:rPr>
              <w:t>esetén</w:t>
            </w:r>
            <w:proofErr w:type="gramEnd"/>
            <w:r w:rsidRPr="001442F0">
              <w:rPr>
                <w:sz w:val="16"/>
                <w:szCs w:val="16"/>
              </w:rPr>
              <w:t xml:space="preserve"> az intézeten kívüli szülésről szóló kormányrendeletben meghatározott felelős személy jelenti be. Az intézetben történt szülést az intézet vezetője köteles bejelenteni. Intézetben történt születést az intézet vezetője jelenti be. Magyar állampolgár külföldön történt születését az anyakönyvi ügyekért felelős miniszter által rendeletben kijelölt szerv anyakönyvezi (hazai anyakönyvezés: Bevándorlási és Állampolgársági Hivatal).</w:t>
            </w:r>
            <w:r>
              <w:rPr>
                <w:b/>
                <w:sz w:val="16"/>
                <w:szCs w:val="16"/>
                <w:u w:val="single"/>
              </w:rPr>
              <w:t xml:space="preserve"> </w:t>
            </w:r>
          </w:p>
          <w:p w:rsidR="009F0E1A" w:rsidRDefault="009F0E1A" w:rsidP="00775625">
            <w:pPr>
              <w:rPr>
                <w:sz w:val="16"/>
                <w:szCs w:val="16"/>
              </w:rPr>
            </w:pPr>
            <w:r>
              <w:rPr>
                <w:b/>
                <w:sz w:val="16"/>
                <w:szCs w:val="16"/>
                <w:u w:val="single"/>
              </w:rPr>
              <w:t>Szükséges</w:t>
            </w:r>
            <w:r w:rsidRPr="00E074AB">
              <w:rPr>
                <w:b/>
                <w:sz w:val="16"/>
                <w:szCs w:val="16"/>
                <w:u w:val="single"/>
              </w:rPr>
              <w:t xml:space="preserve"> </w:t>
            </w:r>
            <w:r>
              <w:rPr>
                <w:b/>
                <w:sz w:val="16"/>
                <w:szCs w:val="16"/>
                <w:u w:val="single"/>
              </w:rPr>
              <w:t>iratok</w:t>
            </w:r>
            <w:r w:rsidRPr="00E074AB">
              <w:rPr>
                <w:b/>
                <w:sz w:val="16"/>
                <w:szCs w:val="16"/>
                <w:u w:val="single"/>
              </w:rPr>
              <w:t>:</w:t>
            </w:r>
            <w:r w:rsidRPr="00E074AB">
              <w:rPr>
                <w:sz w:val="16"/>
                <w:szCs w:val="16"/>
              </w:rPr>
              <w:t xml:space="preserve"> </w:t>
            </w:r>
          </w:p>
          <w:p w:rsidR="009F0E1A" w:rsidRPr="004A38AC" w:rsidRDefault="009F0E1A" w:rsidP="00775625">
            <w:pPr>
              <w:rPr>
                <w:sz w:val="16"/>
                <w:szCs w:val="16"/>
              </w:rPr>
            </w:pPr>
            <w:r w:rsidRPr="001442F0">
              <w:rPr>
                <w:sz w:val="16"/>
                <w:szCs w:val="16"/>
              </w:rPr>
              <w:t xml:space="preserve">- Ha a szülők házasságban élnek, a házassági </w:t>
            </w:r>
            <w:r w:rsidRPr="004A38AC">
              <w:rPr>
                <w:sz w:val="16"/>
                <w:szCs w:val="16"/>
              </w:rPr>
              <w:t>anyakönyvi kivonatot,</w:t>
            </w:r>
            <w:r w:rsidRPr="004A38AC">
              <w:rPr>
                <w:sz w:val="16"/>
                <w:szCs w:val="16"/>
              </w:rPr>
              <w:br/>
              <w:t xml:space="preserve">- Ha a szülők nem házasságban élnek, apai elismerő nyilatkozat </w:t>
            </w:r>
            <w:r w:rsidRPr="004A38AC">
              <w:rPr>
                <w:sz w:val="16"/>
                <w:szCs w:val="16"/>
              </w:rPr>
              <w:br/>
              <w:t>- Ha a gyermek nem intézményben (kórházban) született, akkor:</w:t>
            </w:r>
            <w:r w:rsidRPr="004A38AC">
              <w:rPr>
                <w:sz w:val="16"/>
                <w:szCs w:val="16"/>
              </w:rPr>
              <w:br/>
              <w:t>a kitöltött „Jegyzőkönyv születés bejelentéséről", vagy</w:t>
            </w:r>
            <w:r w:rsidRPr="004A38AC">
              <w:rPr>
                <w:sz w:val="16"/>
                <w:szCs w:val="16"/>
              </w:rPr>
              <w:br/>
              <w:t>a „Vizsgálati lap otthon született gyermekről" nyomtatványt, és a</w:t>
            </w:r>
            <w:r w:rsidRPr="004A38AC">
              <w:rPr>
                <w:sz w:val="16"/>
                <w:szCs w:val="16"/>
              </w:rPr>
              <w:br/>
              <w:t xml:space="preserve">szülész-nőgyógyász szakorvos által a születés </w:t>
            </w:r>
            <w:proofErr w:type="spellStart"/>
            <w:r w:rsidRPr="004A38AC">
              <w:rPr>
                <w:sz w:val="16"/>
                <w:szCs w:val="16"/>
              </w:rPr>
              <w:t>tényéről</w:t>
            </w:r>
            <w:proofErr w:type="spellEnd"/>
            <w:r w:rsidRPr="004A38AC">
              <w:rPr>
                <w:sz w:val="16"/>
                <w:szCs w:val="16"/>
              </w:rPr>
              <w:t xml:space="preserve"> kiállított igazolást.</w:t>
            </w:r>
          </w:p>
          <w:p w:rsidR="009F0E1A" w:rsidRDefault="009F0E1A" w:rsidP="00775625">
            <w:pPr>
              <w:rPr>
                <w:sz w:val="16"/>
                <w:szCs w:val="16"/>
              </w:rPr>
            </w:pPr>
            <w:proofErr w:type="gramStart"/>
            <w:r w:rsidRPr="004A38AC">
              <w:rPr>
                <w:b/>
                <w:sz w:val="16"/>
                <w:szCs w:val="16"/>
                <w:u w:val="single"/>
              </w:rPr>
              <w:t>Illeték fizetési</w:t>
            </w:r>
            <w:proofErr w:type="gramEnd"/>
            <w:r w:rsidRPr="004A38AC">
              <w:rPr>
                <w:b/>
                <w:sz w:val="16"/>
                <w:szCs w:val="16"/>
                <w:u w:val="single"/>
              </w:rPr>
              <w:t xml:space="preserve"> kötelezettség</w:t>
            </w:r>
            <w:r w:rsidRPr="004A38AC">
              <w:rPr>
                <w:sz w:val="16"/>
                <w:szCs w:val="16"/>
              </w:rPr>
              <w:t xml:space="preserve">: </w:t>
            </w:r>
          </w:p>
          <w:p w:rsidR="009F0E1A" w:rsidRPr="004A38AC" w:rsidRDefault="009F0E1A" w:rsidP="00775625">
            <w:pPr>
              <w:rPr>
                <w:sz w:val="16"/>
                <w:szCs w:val="16"/>
              </w:rPr>
            </w:pPr>
            <w:r w:rsidRPr="004A38AC">
              <w:rPr>
                <w:sz w:val="16"/>
                <w:szCs w:val="16"/>
              </w:rPr>
              <w:t>Az eljárás illetékmentes</w:t>
            </w:r>
          </w:p>
        </w:tc>
        <w:tc>
          <w:tcPr>
            <w:tcW w:w="1332" w:type="dxa"/>
            <w:shd w:val="clear" w:color="auto" w:fill="auto"/>
          </w:tcPr>
          <w:p w:rsidR="009F0E1A" w:rsidRPr="001442F0" w:rsidRDefault="009F0E1A" w:rsidP="00775625">
            <w:pPr>
              <w:jc w:val="both"/>
              <w:rPr>
                <w:b/>
                <w:sz w:val="16"/>
                <w:szCs w:val="16"/>
              </w:rPr>
            </w:pPr>
            <w:r w:rsidRPr="001442F0">
              <w:rPr>
                <w:b/>
                <w:sz w:val="16"/>
                <w:szCs w:val="16"/>
              </w:rPr>
              <w:t>Beke Zsuzsanna</w:t>
            </w:r>
          </w:p>
          <w:p w:rsidR="009F0E1A" w:rsidRPr="001442F0" w:rsidRDefault="009F0E1A" w:rsidP="00775625">
            <w:pPr>
              <w:jc w:val="both"/>
              <w:rPr>
                <w:b/>
                <w:sz w:val="16"/>
                <w:szCs w:val="16"/>
              </w:rPr>
            </w:pPr>
            <w:r w:rsidRPr="001442F0">
              <w:rPr>
                <w:b/>
                <w:sz w:val="16"/>
                <w:szCs w:val="16"/>
              </w:rPr>
              <w:t>06-29/540-968</w:t>
            </w:r>
          </w:p>
        </w:tc>
        <w:tc>
          <w:tcPr>
            <w:tcW w:w="1440" w:type="dxa"/>
            <w:shd w:val="clear" w:color="auto" w:fill="auto"/>
          </w:tcPr>
          <w:p w:rsidR="009F0E1A" w:rsidRPr="00E074AB" w:rsidRDefault="009F0E1A" w:rsidP="00775625">
            <w:pPr>
              <w:jc w:val="both"/>
              <w:rPr>
                <w:sz w:val="18"/>
                <w:szCs w:val="18"/>
              </w:rPr>
            </w:pPr>
            <w:r w:rsidRPr="00E074AB">
              <w:rPr>
                <w:sz w:val="18"/>
                <w:szCs w:val="18"/>
              </w:rPr>
              <w:t xml:space="preserve">2360 Gyál </w:t>
            </w:r>
          </w:p>
          <w:p w:rsidR="009F0E1A" w:rsidRPr="00E074AB" w:rsidRDefault="009F0E1A" w:rsidP="00775625">
            <w:pPr>
              <w:jc w:val="both"/>
              <w:rPr>
                <w:sz w:val="18"/>
                <w:szCs w:val="18"/>
              </w:rPr>
            </w:pPr>
            <w:r w:rsidRPr="00E074AB">
              <w:rPr>
                <w:sz w:val="18"/>
                <w:szCs w:val="18"/>
              </w:rPr>
              <w:t xml:space="preserve">Kőrösi út </w:t>
            </w:r>
          </w:p>
          <w:p w:rsidR="009F0E1A" w:rsidRPr="00E074AB" w:rsidRDefault="009F0E1A" w:rsidP="00775625">
            <w:pPr>
              <w:jc w:val="both"/>
              <w:rPr>
                <w:sz w:val="18"/>
                <w:szCs w:val="18"/>
              </w:rPr>
            </w:pPr>
            <w:r w:rsidRPr="00E074AB">
              <w:rPr>
                <w:sz w:val="18"/>
                <w:szCs w:val="18"/>
              </w:rPr>
              <w:t>112-114.</w:t>
            </w:r>
            <w:r>
              <w:rPr>
                <w:sz w:val="18"/>
                <w:szCs w:val="18"/>
              </w:rPr>
              <w:t xml:space="preserve"> fsz. 2</w:t>
            </w:r>
            <w:r w:rsidRPr="00E074AB">
              <w:rPr>
                <w:sz w:val="18"/>
                <w:szCs w:val="18"/>
              </w:rPr>
              <w:t>.</w:t>
            </w:r>
          </w:p>
          <w:p w:rsidR="009F0E1A" w:rsidRPr="00E074AB" w:rsidRDefault="009F0E1A" w:rsidP="00775625">
            <w:pPr>
              <w:jc w:val="both"/>
              <w:rPr>
                <w:sz w:val="18"/>
                <w:szCs w:val="18"/>
              </w:rPr>
            </w:pPr>
          </w:p>
          <w:p w:rsidR="009F0E1A" w:rsidRPr="00E074AB" w:rsidRDefault="009F0E1A" w:rsidP="00775625">
            <w:pPr>
              <w:jc w:val="both"/>
              <w:rPr>
                <w:i/>
                <w:sz w:val="18"/>
                <w:szCs w:val="18"/>
                <w:u w:val="single"/>
              </w:rPr>
            </w:pPr>
            <w:r w:rsidRPr="00E074AB">
              <w:rPr>
                <w:i/>
                <w:sz w:val="18"/>
                <w:szCs w:val="18"/>
                <w:u w:val="single"/>
              </w:rPr>
              <w:t>Ügyfélfogadás:</w:t>
            </w:r>
          </w:p>
          <w:p w:rsidR="009F0E1A" w:rsidRPr="00E074AB" w:rsidRDefault="009F0E1A" w:rsidP="00775625">
            <w:pPr>
              <w:jc w:val="both"/>
              <w:rPr>
                <w:i/>
                <w:sz w:val="18"/>
                <w:szCs w:val="18"/>
              </w:rPr>
            </w:pPr>
            <w:r w:rsidRPr="00E074AB">
              <w:rPr>
                <w:i/>
                <w:sz w:val="18"/>
                <w:szCs w:val="18"/>
              </w:rPr>
              <w:t xml:space="preserve">Hétfő: </w:t>
            </w:r>
          </w:p>
          <w:p w:rsidR="009F0E1A" w:rsidRPr="00E074AB" w:rsidRDefault="009F0E1A" w:rsidP="00775625">
            <w:pPr>
              <w:jc w:val="both"/>
              <w:rPr>
                <w:i/>
                <w:sz w:val="18"/>
                <w:szCs w:val="18"/>
              </w:rPr>
            </w:pPr>
            <w:r w:rsidRPr="00E074AB">
              <w:rPr>
                <w:i/>
                <w:sz w:val="18"/>
                <w:szCs w:val="18"/>
              </w:rPr>
              <w:t>12,30-15,30</w:t>
            </w:r>
          </w:p>
          <w:p w:rsidR="009F0E1A" w:rsidRPr="00E074AB" w:rsidRDefault="009F0E1A" w:rsidP="00775625">
            <w:pPr>
              <w:jc w:val="both"/>
              <w:rPr>
                <w:i/>
                <w:sz w:val="18"/>
                <w:szCs w:val="18"/>
              </w:rPr>
            </w:pPr>
            <w:r w:rsidRPr="00E074AB">
              <w:rPr>
                <w:i/>
                <w:sz w:val="18"/>
                <w:szCs w:val="18"/>
              </w:rPr>
              <w:t>Szerda:</w:t>
            </w:r>
          </w:p>
          <w:p w:rsidR="009F0E1A" w:rsidRPr="00E074AB" w:rsidRDefault="009F0E1A" w:rsidP="00775625">
            <w:pPr>
              <w:jc w:val="both"/>
              <w:rPr>
                <w:i/>
                <w:sz w:val="18"/>
                <w:szCs w:val="18"/>
              </w:rPr>
            </w:pPr>
            <w:r w:rsidRPr="00E074AB">
              <w:rPr>
                <w:i/>
                <w:sz w:val="18"/>
                <w:szCs w:val="18"/>
              </w:rPr>
              <w:t>12,30-17,</w:t>
            </w:r>
            <w:r>
              <w:rPr>
                <w:i/>
                <w:sz w:val="18"/>
                <w:szCs w:val="18"/>
              </w:rPr>
              <w:t>30</w:t>
            </w:r>
          </w:p>
          <w:p w:rsidR="009F0E1A" w:rsidRPr="00E074AB" w:rsidRDefault="009F0E1A" w:rsidP="00775625">
            <w:pPr>
              <w:jc w:val="both"/>
              <w:rPr>
                <w:i/>
                <w:sz w:val="18"/>
                <w:szCs w:val="18"/>
              </w:rPr>
            </w:pPr>
            <w:r w:rsidRPr="00E074AB">
              <w:rPr>
                <w:i/>
                <w:sz w:val="18"/>
                <w:szCs w:val="18"/>
              </w:rPr>
              <w:t>Péntek:</w:t>
            </w:r>
          </w:p>
          <w:p w:rsidR="009F0E1A" w:rsidRPr="00E074AB" w:rsidRDefault="009F0E1A" w:rsidP="00775625">
            <w:pPr>
              <w:jc w:val="both"/>
              <w:rPr>
                <w:i/>
                <w:sz w:val="18"/>
                <w:szCs w:val="18"/>
              </w:rPr>
            </w:pPr>
            <w:r w:rsidRPr="00E074AB">
              <w:rPr>
                <w:i/>
                <w:sz w:val="18"/>
                <w:szCs w:val="18"/>
              </w:rPr>
              <w:t>8,00-12,00</w:t>
            </w:r>
          </w:p>
          <w:p w:rsidR="009F0E1A" w:rsidRPr="00E074AB" w:rsidRDefault="009F0E1A" w:rsidP="00775625">
            <w:pPr>
              <w:jc w:val="both"/>
              <w:rPr>
                <w:sz w:val="20"/>
                <w:szCs w:val="20"/>
              </w:rPr>
            </w:pPr>
          </w:p>
        </w:tc>
        <w:tc>
          <w:tcPr>
            <w:tcW w:w="3057" w:type="dxa"/>
            <w:shd w:val="clear" w:color="auto" w:fill="auto"/>
          </w:tcPr>
          <w:p w:rsidR="009F0E1A" w:rsidRDefault="009F0E1A" w:rsidP="00775625">
            <w:pPr>
              <w:ind w:right="-544"/>
              <w:rPr>
                <w:sz w:val="16"/>
                <w:szCs w:val="16"/>
              </w:rPr>
            </w:pPr>
            <w:r w:rsidRPr="00C10505">
              <w:rPr>
                <w:sz w:val="16"/>
                <w:szCs w:val="16"/>
              </w:rPr>
              <w:t>2010. évi I. tv. az anyakönyvi eljárásról</w:t>
            </w:r>
            <w:r w:rsidRPr="00C10505">
              <w:rPr>
                <w:sz w:val="16"/>
                <w:szCs w:val="16"/>
              </w:rPr>
              <w:br/>
              <w:t>2013. évi V. tv. a Polgári Törvénykönyvről</w:t>
            </w:r>
            <w:r w:rsidRPr="00C10505">
              <w:rPr>
                <w:sz w:val="16"/>
                <w:szCs w:val="16"/>
              </w:rPr>
              <w:br/>
              <w:t xml:space="preserve">32/2014. (V.19) KIM rendelet az </w:t>
            </w:r>
          </w:p>
          <w:p w:rsidR="009F0E1A" w:rsidRDefault="009F0E1A" w:rsidP="00775625">
            <w:pPr>
              <w:ind w:right="-544"/>
              <w:rPr>
                <w:sz w:val="16"/>
                <w:szCs w:val="16"/>
              </w:rPr>
            </w:pPr>
            <w:r w:rsidRPr="00C10505">
              <w:rPr>
                <w:sz w:val="16"/>
                <w:szCs w:val="16"/>
              </w:rPr>
              <w:t xml:space="preserve">anyakönyvezési feladatok ellátásának </w:t>
            </w:r>
          </w:p>
          <w:p w:rsidR="009F0E1A" w:rsidRPr="00C10505" w:rsidRDefault="009F0E1A" w:rsidP="00775625">
            <w:pPr>
              <w:ind w:right="-544"/>
              <w:rPr>
                <w:sz w:val="16"/>
                <w:szCs w:val="16"/>
              </w:rPr>
            </w:pPr>
            <w:r w:rsidRPr="00C10505">
              <w:rPr>
                <w:sz w:val="16"/>
                <w:szCs w:val="16"/>
              </w:rPr>
              <w:t>részletes szabályairól</w:t>
            </w:r>
            <w:r w:rsidRPr="00C10505">
              <w:rPr>
                <w:sz w:val="16"/>
                <w:szCs w:val="16"/>
              </w:rPr>
              <w:br/>
              <w:t>1990. évi XCIII. tv. az illetékekrő</w:t>
            </w:r>
            <w:r>
              <w:rPr>
                <w:sz w:val="16"/>
                <w:szCs w:val="16"/>
              </w:rPr>
              <w:t>l</w:t>
            </w:r>
          </w:p>
        </w:tc>
      </w:tr>
    </w:tbl>
    <w:p w:rsidR="009F0E1A" w:rsidRDefault="009F0E1A"/>
    <w:sectPr w:rsidR="009F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1A"/>
    <w:rsid w:val="009F0E1A"/>
    <w:rsid w:val="00EB5B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0E1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F0E1A"/>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0E1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F0E1A"/>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1799</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SuhajdaYvett</dc:creator>
  <cp:lastModifiedBy>SuhajdaYvett</cp:lastModifiedBy>
  <cp:revision>1</cp:revision>
  <dcterms:created xsi:type="dcterms:W3CDTF">2016-11-20T13:57:00Z</dcterms:created>
  <dcterms:modified xsi:type="dcterms:W3CDTF">2016-11-20T14:00:00Z</dcterms:modified>
</cp:coreProperties>
</file>