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E" w:rsidRPr="002D323E" w:rsidRDefault="002D323E" w:rsidP="002D323E">
      <w:pPr>
        <w:pStyle w:val="lfej"/>
        <w:jc w:val="right"/>
        <w:rPr>
          <w:rFonts w:ascii="Gotham Black" w:hAnsi="Gotham Black"/>
          <w:sz w:val="18"/>
          <w:szCs w:val="18"/>
        </w:rPr>
      </w:pPr>
      <w:r w:rsidRPr="002D323E">
        <w:rPr>
          <w:rFonts w:ascii="Gotham Black" w:hAnsi="Gotham Black"/>
          <w:sz w:val="18"/>
          <w:szCs w:val="18"/>
        </w:rPr>
        <w:t>Gyáli Polgármesteri Hivatal</w:t>
      </w:r>
    </w:p>
    <w:p w:rsidR="002D323E" w:rsidRPr="002D323E" w:rsidRDefault="002D323E" w:rsidP="002D323E">
      <w:pPr>
        <w:pStyle w:val="lfej"/>
        <w:jc w:val="right"/>
        <w:rPr>
          <w:rFonts w:ascii="Gotham Black" w:hAnsi="Gotham Black"/>
          <w:sz w:val="18"/>
          <w:szCs w:val="18"/>
        </w:rPr>
      </w:pPr>
      <w:r w:rsidRPr="002D323E">
        <w:rPr>
          <w:rFonts w:ascii="Gotham Black" w:hAnsi="Gotham Black"/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1" locked="0" layoutInCell="1" allowOverlap="1" wp14:anchorId="4FF6EABD" wp14:editId="4E9833D2">
            <wp:simplePos x="0" y="0"/>
            <wp:positionH relativeFrom="column">
              <wp:posOffset>14605</wp:posOffset>
            </wp:positionH>
            <wp:positionV relativeFrom="paragraph">
              <wp:posOffset>51435</wp:posOffset>
            </wp:positionV>
            <wp:extent cx="2047875" cy="790575"/>
            <wp:effectExtent l="0" t="0" r="9525" b="9525"/>
            <wp:wrapNone/>
            <wp:docPr id="4" name="Kép 4" descr="C:\Users\BertaTothBeata\Desktop\g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aTothBeata\Desktop\g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24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23E">
        <w:rPr>
          <w:rFonts w:ascii="Gotham Black" w:hAnsi="Gotham Black"/>
          <w:sz w:val="18"/>
          <w:szCs w:val="18"/>
        </w:rPr>
        <w:t>Igazgatási Iroda</w:t>
      </w:r>
    </w:p>
    <w:p w:rsidR="002D323E" w:rsidRPr="002D323E" w:rsidRDefault="00082CAC" w:rsidP="00082CAC">
      <w:pPr>
        <w:pStyle w:val="lfej"/>
        <w:tabs>
          <w:tab w:val="clear" w:pos="9072"/>
          <w:tab w:val="right" w:pos="14034"/>
        </w:tabs>
        <w:spacing w:after="120"/>
        <w:jc w:val="right"/>
        <w:rPr>
          <w:rFonts w:ascii="Gotham Black" w:hAnsi="Gotham Black"/>
          <w:sz w:val="18"/>
          <w:szCs w:val="18"/>
        </w:rPr>
      </w:pPr>
      <w:r>
        <w:rPr>
          <w:rFonts w:ascii="Gotham Black" w:hAnsi="Gotham Black"/>
          <w:sz w:val="18"/>
          <w:szCs w:val="18"/>
        </w:rPr>
        <w:tab/>
      </w:r>
      <w:r w:rsidR="002D323E" w:rsidRPr="002D323E">
        <w:rPr>
          <w:rFonts w:ascii="Gotham Black" w:hAnsi="Gotham Black"/>
          <w:sz w:val="18"/>
          <w:szCs w:val="18"/>
        </w:rPr>
        <w:t>Általános Igazgatási és Szociális Igazgatási Csoport</w:t>
      </w:r>
    </w:p>
    <w:p w:rsidR="002D323E" w:rsidRPr="002D323E" w:rsidRDefault="002D323E" w:rsidP="002D323E">
      <w:pPr>
        <w:pStyle w:val="lfej"/>
        <w:jc w:val="right"/>
        <w:rPr>
          <w:rFonts w:ascii="Gotham Light" w:hAnsi="Gotham Light"/>
          <w:sz w:val="18"/>
          <w:szCs w:val="18"/>
        </w:rPr>
      </w:pPr>
      <w:r w:rsidRPr="002D323E">
        <w:rPr>
          <w:rFonts w:ascii="Gotham Light" w:hAnsi="Gotham Light"/>
          <w:sz w:val="18"/>
          <w:szCs w:val="18"/>
        </w:rPr>
        <w:t>2360 Gyál, Kőrösi út 112-114.</w:t>
      </w:r>
    </w:p>
    <w:p w:rsidR="002D323E" w:rsidRPr="002D323E" w:rsidRDefault="002D323E" w:rsidP="002D323E">
      <w:pPr>
        <w:pStyle w:val="lfej"/>
        <w:jc w:val="right"/>
        <w:rPr>
          <w:rFonts w:ascii="Gotham Light" w:hAnsi="Gotham Light"/>
          <w:sz w:val="18"/>
          <w:szCs w:val="18"/>
        </w:rPr>
      </w:pPr>
      <w:r w:rsidRPr="002D323E">
        <w:rPr>
          <w:rFonts w:ascii="Gotham Light" w:hAnsi="Gotham Light"/>
          <w:sz w:val="18"/>
          <w:szCs w:val="18"/>
        </w:rPr>
        <w:t xml:space="preserve">06 29 540 930 </w:t>
      </w:r>
    </w:p>
    <w:p w:rsidR="002D323E" w:rsidRPr="002D323E" w:rsidRDefault="002D323E" w:rsidP="002D323E">
      <w:pPr>
        <w:pStyle w:val="lfej"/>
        <w:jc w:val="right"/>
        <w:rPr>
          <w:rFonts w:ascii="Gotham Light" w:hAnsi="Gotham Light"/>
          <w:sz w:val="18"/>
          <w:szCs w:val="18"/>
        </w:rPr>
      </w:pPr>
      <w:r w:rsidRPr="002D323E">
        <w:rPr>
          <w:rFonts w:ascii="Gotham Light" w:hAnsi="Gotham Light"/>
          <w:sz w:val="18"/>
          <w:szCs w:val="18"/>
        </w:rPr>
        <w:t>igazgatas@gyal.hu</w:t>
      </w:r>
    </w:p>
    <w:p w:rsidR="002D323E" w:rsidRPr="002D323E" w:rsidRDefault="0079028B" w:rsidP="002D323E">
      <w:pPr>
        <w:pStyle w:val="lfej"/>
        <w:jc w:val="right"/>
        <w:rPr>
          <w:rFonts w:ascii="Gotham Light" w:hAnsi="Gotham Light"/>
          <w:sz w:val="18"/>
          <w:szCs w:val="18"/>
        </w:rPr>
      </w:pPr>
      <w:hyperlink r:id="rId7" w:history="1">
        <w:r w:rsidR="002D323E" w:rsidRPr="002D323E">
          <w:rPr>
            <w:rStyle w:val="Hiperhivatkozs"/>
            <w:rFonts w:ascii="Gotham Light" w:hAnsi="Gotham Light"/>
            <w:sz w:val="18"/>
            <w:szCs w:val="18"/>
          </w:rPr>
          <w:t>www.gyal.hu</w:t>
        </w:r>
      </w:hyperlink>
    </w:p>
    <w:p w:rsidR="002D323E" w:rsidRPr="002D323E" w:rsidRDefault="002D323E" w:rsidP="002D323E">
      <w:pPr>
        <w:pStyle w:val="lfej"/>
        <w:jc w:val="right"/>
        <w:rPr>
          <w:rFonts w:ascii="Gotham Light" w:hAnsi="Gotham Light"/>
          <w:sz w:val="18"/>
          <w:szCs w:val="18"/>
        </w:rPr>
      </w:pPr>
    </w:p>
    <w:p w:rsidR="002D323E" w:rsidRPr="002D323E" w:rsidRDefault="002D323E" w:rsidP="002D323E">
      <w:pPr>
        <w:pStyle w:val="lfej"/>
        <w:jc w:val="right"/>
        <w:rPr>
          <w:rFonts w:ascii="Gotham Light" w:hAnsi="Gotham Light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0"/>
        <w:gridCol w:w="7820"/>
      </w:tblGrid>
      <w:tr w:rsidR="00E439A1" w:rsidRPr="002D323E" w:rsidTr="00291B26">
        <w:tc>
          <w:tcPr>
            <w:tcW w:w="192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9A1" w:rsidRPr="0058152E" w:rsidRDefault="00E439A1" w:rsidP="00E439A1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  <w:r w:rsidRPr="0058152E">
              <w:rPr>
                <w:rFonts w:ascii="Gotham Black" w:hAnsi="Gotham Black"/>
                <w:sz w:val="18"/>
                <w:szCs w:val="18"/>
              </w:rPr>
              <w:t>Ügytípus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9A1" w:rsidRPr="00091B4F" w:rsidRDefault="00A702A0" w:rsidP="00E439A1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  <w:r>
              <w:rPr>
                <w:rFonts w:ascii="Gotham Black" w:hAnsi="Gotham Black"/>
                <w:sz w:val="18"/>
                <w:szCs w:val="18"/>
              </w:rPr>
              <w:t xml:space="preserve">Kutak fennmaradási/ létesítési/ megszüntetési </w:t>
            </w:r>
            <w:r w:rsidR="00ED7AC8">
              <w:rPr>
                <w:rFonts w:ascii="Gotham Black" w:hAnsi="Gotham Black"/>
                <w:sz w:val="18"/>
                <w:szCs w:val="18"/>
              </w:rPr>
              <w:t>engedélyezési eljárása</w:t>
            </w:r>
          </w:p>
        </w:tc>
      </w:tr>
      <w:tr w:rsidR="002D323E" w:rsidRPr="002D323E" w:rsidTr="00291B26"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E" w:rsidRPr="0058152E" w:rsidRDefault="002D323E" w:rsidP="002D323E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E" w:rsidRPr="002D323E" w:rsidRDefault="002D323E" w:rsidP="00291B26">
            <w:pPr>
              <w:spacing w:before="120" w:after="120"/>
              <w:jc w:val="both"/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2D323E" w:rsidRPr="002D323E" w:rsidTr="00291B26"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</w:tcPr>
          <w:p w:rsidR="002D323E" w:rsidRPr="0058152E" w:rsidRDefault="002D323E" w:rsidP="002D323E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  <w:r w:rsidRPr="0058152E">
              <w:rPr>
                <w:rFonts w:ascii="Gotham Black" w:hAnsi="Gotham Black"/>
                <w:sz w:val="18"/>
                <w:szCs w:val="18"/>
              </w:rPr>
              <w:t xml:space="preserve">Ügyintéző neve: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</w:tcBorders>
          </w:tcPr>
          <w:p w:rsidR="002D323E" w:rsidRPr="002D323E" w:rsidRDefault="00291B26" w:rsidP="00291B26">
            <w:pPr>
              <w:spacing w:before="120" w:after="120"/>
              <w:jc w:val="both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>Kurucz-Szigetvári Szonja</w:t>
            </w:r>
          </w:p>
        </w:tc>
      </w:tr>
      <w:tr w:rsidR="002D323E" w:rsidRPr="002D323E" w:rsidTr="00291B26">
        <w:tc>
          <w:tcPr>
            <w:tcW w:w="1929" w:type="dxa"/>
          </w:tcPr>
          <w:p w:rsidR="002D323E" w:rsidRPr="0058152E" w:rsidRDefault="002D323E" w:rsidP="002D323E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  <w:r w:rsidRPr="0058152E">
              <w:rPr>
                <w:rFonts w:ascii="Gotham Black" w:hAnsi="Gotham Black"/>
                <w:sz w:val="18"/>
                <w:szCs w:val="18"/>
              </w:rPr>
              <w:t>Ügyintéző elérhetősége:</w:t>
            </w:r>
          </w:p>
        </w:tc>
        <w:tc>
          <w:tcPr>
            <w:tcW w:w="7415" w:type="dxa"/>
          </w:tcPr>
          <w:p w:rsidR="002D323E" w:rsidRDefault="00291B26" w:rsidP="00291B26">
            <w:pPr>
              <w:spacing w:before="120" w:after="120"/>
              <w:jc w:val="both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>tel</w:t>
            </w:r>
            <w:proofErr w:type="gramStart"/>
            <w:r>
              <w:rPr>
                <w:rFonts w:ascii="Gotham Light" w:hAnsi="Gotham Light"/>
                <w:sz w:val="18"/>
                <w:szCs w:val="18"/>
              </w:rPr>
              <w:t>.:</w:t>
            </w:r>
            <w:proofErr w:type="gramEnd"/>
            <w:r>
              <w:rPr>
                <w:rFonts w:ascii="Gotham Light" w:hAnsi="Gotham Light"/>
                <w:sz w:val="18"/>
                <w:szCs w:val="18"/>
              </w:rPr>
              <w:t xml:space="preserve"> </w:t>
            </w:r>
            <w:r w:rsidR="0063691B">
              <w:rPr>
                <w:rFonts w:ascii="Gotham Light" w:hAnsi="Gotham Light"/>
                <w:sz w:val="18"/>
                <w:szCs w:val="18"/>
              </w:rPr>
              <w:t>06-29/540-968</w:t>
            </w:r>
          </w:p>
          <w:p w:rsidR="00B31749" w:rsidRPr="002D323E" w:rsidRDefault="00291B26" w:rsidP="00B31749">
            <w:pPr>
              <w:spacing w:before="120" w:after="120"/>
              <w:jc w:val="both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 xml:space="preserve">e-mail: </w:t>
            </w:r>
            <w:hyperlink r:id="rId8" w:history="1">
              <w:r w:rsidR="00B31749" w:rsidRPr="0029730D">
                <w:rPr>
                  <w:rStyle w:val="Hiperhivatkozs"/>
                  <w:rFonts w:ascii="Gotham Light" w:hAnsi="Gotham Light"/>
                  <w:sz w:val="18"/>
                  <w:szCs w:val="18"/>
                </w:rPr>
                <w:t>kurucz-szigetvari.szonja@gyal.hu</w:t>
              </w:r>
            </w:hyperlink>
          </w:p>
        </w:tc>
      </w:tr>
      <w:tr w:rsidR="00884326" w:rsidRPr="002D323E" w:rsidTr="00291B26">
        <w:tc>
          <w:tcPr>
            <w:tcW w:w="1929" w:type="dxa"/>
          </w:tcPr>
          <w:p w:rsidR="00884326" w:rsidRPr="0058152E" w:rsidRDefault="00884326" w:rsidP="002D323E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  <w:r w:rsidRPr="0058152E">
              <w:rPr>
                <w:rFonts w:ascii="Gotham Black" w:hAnsi="Gotham Black"/>
                <w:sz w:val="18"/>
                <w:szCs w:val="18"/>
              </w:rPr>
              <w:t>Nyomtatvány</w:t>
            </w:r>
          </w:p>
        </w:tc>
        <w:tc>
          <w:tcPr>
            <w:tcW w:w="7415" w:type="dxa"/>
          </w:tcPr>
          <w:p w:rsidR="00F36253" w:rsidRDefault="00F36253" w:rsidP="00291B26">
            <w:pPr>
              <w:tabs>
                <w:tab w:val="left" w:pos="176"/>
              </w:tabs>
              <w:spacing w:before="120" w:after="120"/>
              <w:jc w:val="both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 xml:space="preserve">A kérelem benyújtására formanyomtatvány áll rendelkezésre, amely a Gyáli </w:t>
            </w:r>
          </w:p>
          <w:p w:rsidR="00884326" w:rsidRPr="002D323E" w:rsidRDefault="00F36253" w:rsidP="0014588E">
            <w:pPr>
              <w:tabs>
                <w:tab w:val="left" w:pos="176"/>
              </w:tabs>
              <w:spacing w:before="120" w:after="120"/>
              <w:jc w:val="both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 Light" w:hAnsi="Gotham Light"/>
                <w:sz w:val="18"/>
                <w:szCs w:val="18"/>
              </w:rPr>
              <w:t xml:space="preserve">Polgármesteri Hivatalban igényelhető személyesen, vagy </w:t>
            </w:r>
            <w:r w:rsidRPr="0014588E">
              <w:rPr>
                <w:rFonts w:ascii="Gotham Light" w:hAnsi="Gotham Light"/>
                <w:sz w:val="18"/>
                <w:szCs w:val="18"/>
              </w:rPr>
              <w:t xml:space="preserve">letölthető </w:t>
            </w:r>
            <w:r w:rsidR="0014588E" w:rsidRPr="0014588E">
              <w:rPr>
                <w:rFonts w:ascii="Gotham Light" w:hAnsi="Gotham Light"/>
                <w:sz w:val="18"/>
                <w:szCs w:val="18"/>
              </w:rPr>
              <w:t>a leírásban</w:t>
            </w:r>
            <w:r w:rsidRPr="0014588E">
              <w:rPr>
                <w:rFonts w:ascii="Gotham Light" w:hAnsi="Gotham Light"/>
                <w:sz w:val="18"/>
                <w:szCs w:val="18"/>
              </w:rPr>
              <w:t>.</w:t>
            </w:r>
          </w:p>
        </w:tc>
      </w:tr>
      <w:tr w:rsidR="00291B26" w:rsidRPr="002D323E" w:rsidTr="00291B26">
        <w:tc>
          <w:tcPr>
            <w:tcW w:w="1929" w:type="dxa"/>
          </w:tcPr>
          <w:p w:rsidR="00291B26" w:rsidRPr="0058152E" w:rsidRDefault="00291B26" w:rsidP="00291B26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  <w:r w:rsidRPr="0058152E">
              <w:rPr>
                <w:rFonts w:ascii="Gotham Black" w:hAnsi="Gotham Black"/>
                <w:sz w:val="18"/>
                <w:szCs w:val="18"/>
              </w:rPr>
              <w:t>Ügymenet leírása:</w:t>
            </w:r>
          </w:p>
        </w:tc>
        <w:tc>
          <w:tcPr>
            <w:tcW w:w="7415" w:type="dxa"/>
          </w:tcPr>
          <w:p w:rsidR="004B285B" w:rsidRPr="004B285B" w:rsidRDefault="004B285B" w:rsidP="004B285B">
            <w:pPr>
              <w:pStyle w:val="Listaszerbekezds"/>
              <w:spacing w:before="120" w:after="120" w:line="240" w:lineRule="auto"/>
              <w:ind w:left="0"/>
              <w:jc w:val="both"/>
              <w:rPr>
                <w:rFonts w:ascii="Gotham Light" w:hAnsi="Gotham Light"/>
                <w:b/>
                <w:sz w:val="16"/>
                <w:szCs w:val="16"/>
              </w:rPr>
            </w:pPr>
            <w:r>
              <w:rPr>
                <w:rFonts w:ascii="Gotham Light" w:hAnsi="Gotham Light"/>
                <w:b/>
                <w:sz w:val="16"/>
                <w:szCs w:val="16"/>
              </w:rPr>
              <w:t>A</w:t>
            </w:r>
            <w:r w:rsidRPr="004B285B">
              <w:rPr>
                <w:rFonts w:ascii="Gotham Light" w:hAnsi="Gotham Light"/>
                <w:b/>
                <w:sz w:val="16"/>
                <w:szCs w:val="16"/>
              </w:rPr>
              <w:t xml:space="preserve">z engedélyező hatóság </w:t>
            </w:r>
            <w:r w:rsidRPr="004B285B">
              <w:rPr>
                <w:rFonts w:ascii="Gotham Light" w:hAnsi="Gotham Light"/>
                <w:b/>
                <w:sz w:val="16"/>
                <w:szCs w:val="16"/>
                <w:u w:val="single"/>
              </w:rPr>
              <w:t>a jegyző</w:t>
            </w:r>
            <w:r w:rsidRPr="004B285B">
              <w:rPr>
                <w:rFonts w:ascii="Gotham Light" w:hAnsi="Gotham Light"/>
                <w:b/>
                <w:sz w:val="16"/>
                <w:szCs w:val="16"/>
              </w:rPr>
              <w:t xml:space="preserve"> a következő feltételek </w:t>
            </w:r>
            <w:r w:rsidRPr="004B285B">
              <w:rPr>
                <w:rFonts w:ascii="Gotham Light" w:hAnsi="Gotham Light"/>
                <w:b/>
                <w:sz w:val="16"/>
                <w:szCs w:val="16"/>
                <w:u w:val="single" w:color="000000" w:themeColor="text1"/>
              </w:rPr>
              <w:t xml:space="preserve">együttes teljesülése </w:t>
            </w:r>
            <w:r w:rsidRPr="004B285B">
              <w:rPr>
                <w:rFonts w:ascii="Gotham Light" w:hAnsi="Gotham Light"/>
                <w:b/>
                <w:sz w:val="16"/>
                <w:szCs w:val="16"/>
              </w:rPr>
              <w:t>esetén:</w:t>
            </w:r>
          </w:p>
          <w:p w:rsidR="004B285B" w:rsidRPr="004B285B" w:rsidRDefault="004B285B" w:rsidP="004B285B">
            <w:pPr>
              <w:pStyle w:val="Listaszerbekezds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4B285B">
              <w:rPr>
                <w:rFonts w:ascii="Gotham Light" w:hAnsi="Gotham Light"/>
                <w:sz w:val="16"/>
                <w:szCs w:val="16"/>
              </w:rPr>
              <w:t>a vízkivétel legfeljebb 500 m3/év,</w:t>
            </w:r>
          </w:p>
          <w:p w:rsidR="004B285B" w:rsidRPr="004B285B" w:rsidRDefault="004B285B" w:rsidP="004B285B">
            <w:pPr>
              <w:pStyle w:val="Listaszerbekezds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4B285B">
              <w:rPr>
                <w:rFonts w:ascii="Gotham Light" w:hAnsi="Gotham Light"/>
                <w:sz w:val="16"/>
                <w:szCs w:val="16"/>
              </w:rPr>
              <w:t xml:space="preserve">a kút kizárólag talajvízkészlet vagy parti szűrésű vízkészlet felhasználásával üzemel, </w:t>
            </w:r>
          </w:p>
          <w:p w:rsidR="004B285B" w:rsidRPr="004B285B" w:rsidRDefault="004B285B" w:rsidP="004B285B">
            <w:pPr>
              <w:pStyle w:val="Listaszerbekezds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4B285B">
              <w:rPr>
                <w:rFonts w:ascii="Gotham Light" w:hAnsi="Gotham Light"/>
                <w:sz w:val="16"/>
                <w:szCs w:val="16"/>
              </w:rPr>
              <w:t>épülettel, vagy annak építésére jogosító hatósági határozattal rendelkező ingatlanon van,</w:t>
            </w:r>
          </w:p>
          <w:p w:rsidR="004B285B" w:rsidRPr="004B285B" w:rsidRDefault="004B285B" w:rsidP="004B285B">
            <w:pPr>
              <w:pStyle w:val="Listaszerbekezds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4B285B">
              <w:rPr>
                <w:rFonts w:ascii="Gotham Light" w:hAnsi="Gotham Light"/>
                <w:sz w:val="16"/>
                <w:szCs w:val="16"/>
              </w:rPr>
              <w:t>magánszemély a kérelmező,</w:t>
            </w:r>
          </w:p>
          <w:p w:rsidR="004B285B" w:rsidRPr="004B285B" w:rsidRDefault="004B285B" w:rsidP="004B285B">
            <w:pPr>
              <w:pStyle w:val="Listaszerbekezds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4B285B">
              <w:rPr>
                <w:rFonts w:ascii="Gotham Light" w:hAnsi="Gotham Light"/>
                <w:sz w:val="16"/>
                <w:szCs w:val="16"/>
              </w:rPr>
              <w:t>házi ivóvízigényt, vagy háztartási igényt elégít ki,</w:t>
            </w:r>
          </w:p>
          <w:p w:rsidR="004B285B" w:rsidRPr="004B285B" w:rsidRDefault="004B285B" w:rsidP="004B285B">
            <w:pPr>
              <w:pStyle w:val="Listaszerbekezds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4B285B">
              <w:rPr>
                <w:rFonts w:ascii="Gotham Light" w:hAnsi="Gotham Light"/>
                <w:sz w:val="16"/>
                <w:szCs w:val="16"/>
              </w:rPr>
              <w:t xml:space="preserve">nem gazdasági célú vízigény (a víz </w:t>
            </w:r>
            <w:proofErr w:type="gramStart"/>
            <w:r w:rsidRPr="004B285B">
              <w:rPr>
                <w:rFonts w:ascii="Gotham Light" w:hAnsi="Gotham Light"/>
                <w:sz w:val="16"/>
                <w:szCs w:val="16"/>
              </w:rPr>
              <w:t>használatával</w:t>
            </w:r>
            <w:proofErr w:type="gramEnd"/>
            <w:r w:rsidRPr="004B285B">
              <w:rPr>
                <w:rFonts w:ascii="Gotham Light" w:hAnsi="Gotham Light"/>
                <w:sz w:val="16"/>
                <w:szCs w:val="16"/>
              </w:rPr>
              <w:t xml:space="preserve"> gazdasági haszonnal járó tevékenységet nem végez).</w:t>
            </w:r>
          </w:p>
          <w:p w:rsidR="00D16683" w:rsidRDefault="004B285B" w:rsidP="00D16683">
            <w:pPr>
              <w:spacing w:before="120" w:after="12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4B285B">
              <w:rPr>
                <w:rFonts w:ascii="Gotham Light" w:hAnsi="Gotham Light"/>
                <w:sz w:val="16"/>
                <w:szCs w:val="16"/>
              </w:rPr>
              <w:t xml:space="preserve">A fenti feltételek bármelyikének nem teljesülése esetén az engedélyező hatóság </w:t>
            </w:r>
            <w:r w:rsidRPr="004B285B">
              <w:rPr>
                <w:rFonts w:ascii="Gotham Light" w:hAnsi="Gotham Light"/>
                <w:sz w:val="16"/>
                <w:szCs w:val="16"/>
                <w:u w:val="single"/>
              </w:rPr>
              <w:t>a Katasztrófavédelmi Igazgatóság</w:t>
            </w:r>
            <w:r w:rsidRPr="004B285B">
              <w:rPr>
                <w:rFonts w:ascii="Gotham Light" w:hAnsi="Gotham Light"/>
                <w:sz w:val="16"/>
                <w:szCs w:val="16"/>
              </w:rPr>
              <w:t>.</w:t>
            </w:r>
          </w:p>
          <w:p w:rsidR="00D16683" w:rsidRPr="00D16683" w:rsidRDefault="00D16683" w:rsidP="00D16683">
            <w:pPr>
              <w:spacing w:before="120" w:after="120"/>
              <w:jc w:val="both"/>
              <w:rPr>
                <w:rFonts w:ascii="Gotham Black" w:hAnsi="Gotham Black"/>
                <w:color w:val="C00000"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color w:val="C00000"/>
                <w:sz w:val="16"/>
                <w:szCs w:val="16"/>
                <w:u w:val="single"/>
              </w:rPr>
              <w:t>ÚJ KÚT LÉTESÍTÉSE</w:t>
            </w: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  <w:t>I. Vízjogi létesítési eljárás:</w:t>
            </w: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Black" w:hAnsi="Gotham Black"/>
                <w:i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i/>
                <w:sz w:val="16"/>
                <w:szCs w:val="16"/>
                <w:u w:val="single"/>
              </w:rPr>
              <w:t>Lépései: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3"/>
              </w:numPr>
              <w:tabs>
                <w:tab w:val="center" w:pos="1985"/>
                <w:tab w:val="center" w:pos="8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otham Black" w:hAnsi="Gotham Black"/>
                <w:sz w:val="16"/>
                <w:szCs w:val="16"/>
              </w:rPr>
            </w:pPr>
            <w:proofErr w:type="gramStart"/>
            <w:r w:rsidRPr="00D16683">
              <w:rPr>
                <w:rFonts w:ascii="Gotham Light" w:hAnsi="Gotham Light"/>
                <w:sz w:val="16"/>
                <w:szCs w:val="16"/>
              </w:rPr>
              <w:t>a.</w:t>
            </w:r>
            <w:proofErr w:type="gramEnd"/>
            <w:r w:rsidRPr="00D16683">
              <w:rPr>
                <w:rFonts w:ascii="Gotham Light" w:hAnsi="Gotham Light"/>
                <w:sz w:val="16"/>
                <w:szCs w:val="16"/>
              </w:rPr>
              <w:tab/>
              <w:t xml:space="preserve"> fúrt kút létesítése esetén a kérelmezőnek a kérelem benyújtását megelőzően készíttetnie szükséges egy műszaki tervdokumentációt </w:t>
            </w:r>
            <w:r w:rsidRPr="00D16683">
              <w:rPr>
                <w:rFonts w:ascii="Gotham Black" w:hAnsi="Gotham Black"/>
                <w:sz w:val="16"/>
                <w:szCs w:val="16"/>
              </w:rPr>
              <w:t xml:space="preserve">a 101/2007. </w:t>
            </w:r>
            <w:proofErr w:type="spellStart"/>
            <w:r w:rsidRPr="00D16683">
              <w:rPr>
                <w:rFonts w:ascii="Gotham Black" w:hAnsi="Gotham Black"/>
                <w:sz w:val="16"/>
                <w:szCs w:val="16"/>
              </w:rPr>
              <w:t>KvVM</w:t>
            </w:r>
            <w:proofErr w:type="spellEnd"/>
            <w:r w:rsidRPr="00D16683">
              <w:rPr>
                <w:rFonts w:ascii="Gotham Black" w:hAnsi="Gotham Black"/>
                <w:sz w:val="16"/>
                <w:szCs w:val="16"/>
              </w:rPr>
              <w:t xml:space="preserve"> rendelet 13. § (2) bekezdés </w:t>
            </w:r>
            <w:r w:rsidRPr="00D16683">
              <w:rPr>
                <w:rFonts w:ascii="Gotham Black" w:hAnsi="Gotham Black"/>
                <w:sz w:val="16"/>
                <w:szCs w:val="16"/>
              </w:rPr>
              <w:tab/>
              <w:t>szerinti kútfúró szakemberrel</w:t>
            </w:r>
          </w:p>
          <w:p w:rsidR="00D16683" w:rsidRPr="00D16683" w:rsidRDefault="00D16683" w:rsidP="00D16683">
            <w:pPr>
              <w:pStyle w:val="Listaszerbekezds"/>
              <w:tabs>
                <w:tab w:val="center" w:pos="1985"/>
                <w:tab w:val="center" w:pos="8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otham Black" w:hAnsi="Gotham Black"/>
                <w:sz w:val="16"/>
                <w:szCs w:val="16"/>
              </w:rPr>
            </w:pPr>
            <w:r w:rsidRPr="00D16683">
              <w:rPr>
                <w:rFonts w:ascii="Gotham Black" w:hAnsi="Gotham Black"/>
                <w:sz w:val="16"/>
                <w:szCs w:val="16"/>
              </w:rPr>
              <w:t>b. ásott és vert kút esetén a dokumentációt a kút tulajdonosa maga állítja össze, nem szükséges kútfúró bevonása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3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az eljáró hatóság indokolt esetben szakértőként vonja be az illetékes katasztrófavédelmi igazgatóságot annak megállapítására, hogy „</w:t>
            </w:r>
            <w:r w:rsidRPr="00D16683">
              <w:rPr>
                <w:rFonts w:ascii="Gotham Light" w:hAnsi="Gotham Light"/>
                <w:i/>
                <w:sz w:val="16"/>
                <w:szCs w:val="16"/>
              </w:rPr>
              <w:t>a kút nem veszélyeztet karszt- vagy rétegvíz készletet</w:t>
            </w:r>
            <w:r w:rsidRPr="00D16683">
              <w:rPr>
                <w:rFonts w:ascii="Gotham Light" w:hAnsi="Gotham Light"/>
                <w:sz w:val="16"/>
                <w:szCs w:val="16"/>
              </w:rPr>
              <w:t>”;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3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engedély kiadása vagy a kiadás megtagadása.</w:t>
            </w: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Black" w:hAnsi="Gotham Black"/>
                <w:i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i/>
                <w:sz w:val="16"/>
                <w:szCs w:val="16"/>
                <w:u w:val="single"/>
              </w:rPr>
              <w:t>A jegyző eljárásához kötelezően benyújtandó: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kitöltött kérelemnyomtatvány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helyszínrajz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  <w:u w:val="single"/>
              </w:rPr>
              <w:t>ha a vízkivétel ivóvíz célú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: szakhatóság (megyei kormányhivatalok népegészségügyi főosztálya) szakvéleménye, (ez igazolható az eljárási díj befizetésével, vagy a kiadott szakvéleménnyel) </w:t>
            </w:r>
            <w:r w:rsidRPr="00D16683">
              <w:rPr>
                <w:rFonts w:ascii="Gotham Light" w:hAnsi="Gotham Light"/>
                <w:b/>
                <w:sz w:val="16"/>
                <w:szCs w:val="16"/>
              </w:rPr>
              <w:t>DE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 amennyiben az ingatlant határoló közterületen az ivóvíz-törzshálózat műszakilag elérhető, akkor saját célú ivóvízmű nem telepíthető, meglévő érvényességi ideje nem hosszabbítható, azaz a vízhasználó köteles a víziközmű-szolgáltatást igénybe venni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fúrt kút esetén a kútfúró szakmai végzettségének és a kútfúró berendezés megfelelőségének igazolása</w:t>
            </w:r>
          </w:p>
          <w:p w:rsidR="00D16683" w:rsidRPr="00D16683" w:rsidRDefault="00D16683" w:rsidP="00D16683">
            <w:pPr>
              <w:pStyle w:val="Listaszerbekezds"/>
              <w:spacing w:after="0" w:line="240" w:lineRule="auto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    (</w:t>
            </w:r>
            <w:r w:rsidRPr="00D16683">
              <w:rPr>
                <w:rFonts w:ascii="Gotham Light" w:hAnsi="Gotham Light"/>
                <w:b/>
                <w:sz w:val="16"/>
                <w:szCs w:val="16"/>
                <w:u w:val="single"/>
              </w:rPr>
              <w:t>végzettség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 igazolására </w:t>
            </w:r>
          </w:p>
          <w:p w:rsidR="00D16683" w:rsidRPr="00D16683" w:rsidRDefault="00D16683" w:rsidP="00D16683">
            <w:pPr>
              <w:pStyle w:val="Listaszerbekezds"/>
              <w:numPr>
                <w:ilvl w:val="1"/>
                <w:numId w:val="1"/>
              </w:numPr>
              <w:spacing w:after="0" w:line="240" w:lineRule="auto"/>
              <w:ind w:left="356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szakirányú középfokú vízkútfúró végzettség vagy szakirányú felsőfokú végzettség és </w:t>
            </w:r>
            <w:proofErr w:type="spellStart"/>
            <w:r w:rsidRPr="00D16683">
              <w:rPr>
                <w:rFonts w:ascii="Gotham Light" w:hAnsi="Gotham Light"/>
                <w:sz w:val="16"/>
                <w:szCs w:val="16"/>
              </w:rPr>
              <w:t>kútkivitelezési</w:t>
            </w:r>
            <w:proofErr w:type="spellEnd"/>
            <w:r w:rsidRPr="00D16683">
              <w:rPr>
                <w:rFonts w:ascii="Gotham Light" w:hAnsi="Gotham Light"/>
                <w:sz w:val="16"/>
                <w:szCs w:val="16"/>
              </w:rPr>
              <w:t xml:space="preserve"> jogosultság, vagy</w:t>
            </w:r>
          </w:p>
          <w:p w:rsidR="00D16683" w:rsidRPr="00D16683" w:rsidRDefault="00D16683" w:rsidP="00D16683">
            <w:pPr>
              <w:pStyle w:val="Listaszerbekezds"/>
              <w:numPr>
                <w:ilvl w:val="1"/>
                <w:numId w:val="1"/>
              </w:numPr>
              <w:spacing w:after="0" w:line="240" w:lineRule="auto"/>
              <w:ind w:left="356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a Magyar Agrárgazdasági Kamara igazolása </w:t>
            </w:r>
          </w:p>
          <w:p w:rsidR="00D16683" w:rsidRPr="00D16683" w:rsidRDefault="00D16683" w:rsidP="00D16683">
            <w:pPr>
              <w:ind w:left="320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b/>
                <w:sz w:val="16"/>
                <w:szCs w:val="16"/>
                <w:u w:val="single"/>
              </w:rPr>
              <w:t>gépek megfelelőségének igazolására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: a bányafelügyelet által kiadott igazolás a gépek műszaki megfelelőségéről vagy EK megfelelőségi nyilatkozat.) 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after="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közmű üzemeltetőjének hozzájárulása, ha a </w:t>
            </w:r>
            <w:proofErr w:type="spellStart"/>
            <w:r w:rsidRPr="00D16683">
              <w:rPr>
                <w:rFonts w:ascii="Gotham Light" w:hAnsi="Gotham Light"/>
                <w:sz w:val="16"/>
                <w:szCs w:val="16"/>
              </w:rPr>
              <w:t>vízilétesítmény</w:t>
            </w:r>
            <w:proofErr w:type="spellEnd"/>
            <w:r w:rsidRPr="00D16683">
              <w:rPr>
                <w:rFonts w:ascii="Gotham Light" w:hAnsi="Gotham Light"/>
                <w:sz w:val="16"/>
                <w:szCs w:val="16"/>
              </w:rPr>
              <w:t xml:space="preserve"> </w:t>
            </w:r>
            <w:r w:rsidRPr="00D16683">
              <w:rPr>
                <w:rFonts w:ascii="Gotham Light" w:hAnsi="Gotham Light"/>
                <w:sz w:val="16"/>
                <w:szCs w:val="16"/>
              </w:rPr>
              <w:lastRenderedPageBreak/>
              <w:t>közműveket érint.</w:t>
            </w: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A kút fúrása csak végleges vízjogi létesítési engedély birtokában kezdhető meg. </w:t>
            </w:r>
          </w:p>
          <w:p w:rsidR="00D16683" w:rsidRDefault="00D16683" w:rsidP="00D16683">
            <w:pPr>
              <w:spacing w:before="240"/>
              <w:jc w:val="both"/>
              <w:rPr>
                <w:rFonts w:ascii="Gotham Black" w:hAnsi="Gotham Black"/>
                <w:sz w:val="16"/>
                <w:szCs w:val="16"/>
              </w:rPr>
            </w:pPr>
            <w:r w:rsidRPr="00D16683">
              <w:rPr>
                <w:rFonts w:ascii="Gotham Black" w:hAnsi="Gotham Black"/>
                <w:sz w:val="16"/>
                <w:szCs w:val="16"/>
              </w:rPr>
              <w:t>A vízjogi létesítési engedély csak a kút létesítésére jogosít, használatbavételére üzemeltetési eljárás lefolytatása szükséges!</w:t>
            </w: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  <w:t xml:space="preserve">II. Vízjogi üzemeltetési eljárás </w:t>
            </w: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Black" w:hAnsi="Gotham Black"/>
                <w:i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i/>
                <w:sz w:val="16"/>
                <w:szCs w:val="16"/>
                <w:u w:val="single"/>
              </w:rPr>
              <w:t>Lépései: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4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a kérelem benyújtása a szükséges mellékletekkel (41/2017. (XII.29. BM</w:t>
            </w:r>
            <w:r w:rsidRPr="00D16683">
              <w:rPr>
                <w:rFonts w:ascii="Gotham Light" w:hAnsi="Gotham Light"/>
                <w:i/>
                <w:sz w:val="16"/>
                <w:szCs w:val="16"/>
              </w:rPr>
              <w:t>. rend</w:t>
            </w:r>
            <w:r w:rsidRPr="00D16683">
              <w:rPr>
                <w:rFonts w:ascii="Gotham Light" w:hAnsi="Gotham Light"/>
                <w:sz w:val="16"/>
                <w:szCs w:val="16"/>
              </w:rPr>
              <w:t>.)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4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engedély kiadása vagy a kiadás megtagadása.</w:t>
            </w: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Black" w:hAnsi="Gotham Black"/>
                <w:i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i/>
                <w:sz w:val="16"/>
                <w:szCs w:val="16"/>
                <w:u w:val="single"/>
              </w:rPr>
              <w:t>A jegyző eljárásához kötelezően benyújtandó: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kitöltött kérelemnyomtatvány, fúrt kút létesítése esetén </w:t>
            </w:r>
            <w:r w:rsidR="0079028B">
              <w:rPr>
                <w:rFonts w:ascii="Gotham Light" w:hAnsi="Gotham Light"/>
                <w:sz w:val="16"/>
                <w:szCs w:val="16"/>
              </w:rPr>
              <w:t>víz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kútfúró </w:t>
            </w:r>
            <w:r w:rsidR="0079028B">
              <w:rPr>
                <w:rFonts w:ascii="Gotham Light" w:hAnsi="Gotham Light"/>
                <w:sz w:val="16"/>
                <w:szCs w:val="16"/>
              </w:rPr>
              <w:t xml:space="preserve">szakember </w:t>
            </w:r>
            <w:r w:rsidRPr="00D16683">
              <w:rPr>
                <w:rFonts w:ascii="Gotham Light" w:hAnsi="Gotham Light"/>
                <w:sz w:val="16"/>
                <w:szCs w:val="16"/>
              </w:rPr>
              <w:t>által – ásott és vert kút esetén a kút tulajdonosa által, a megvalósult állapotnak megfelelően (amelyen igazolja, hogy a kivitelezés a létesítési engedély szerint történt, valamint hogy a kút kialakítása úgy történt, hogy abba a felszínről szennyeződés vagy csapadékvíz nem kerülhet).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helyszínrajz megvalósult állapotról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0"/>
              <w:jc w:val="center"/>
              <w:rPr>
                <w:rFonts w:ascii="Gotham Black" w:hAnsi="Gotham Black"/>
                <w:color w:val="C00000"/>
                <w:sz w:val="16"/>
                <w:szCs w:val="16"/>
                <w:u w:val="single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fényképfelvétel a kútról és környezetéről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0"/>
              <w:jc w:val="center"/>
              <w:rPr>
                <w:rFonts w:ascii="Gotham Black" w:hAnsi="Gotham Black"/>
                <w:color w:val="C00000"/>
                <w:sz w:val="16"/>
                <w:szCs w:val="16"/>
                <w:u w:val="single"/>
              </w:rPr>
            </w:pPr>
          </w:p>
          <w:p w:rsidR="00D16683" w:rsidRPr="00D16683" w:rsidRDefault="00D16683" w:rsidP="00D16683">
            <w:pPr>
              <w:pStyle w:val="Listaszerbekezds"/>
              <w:spacing w:before="240"/>
              <w:ind w:left="0"/>
              <w:rPr>
                <w:rFonts w:ascii="Gotham Black" w:hAnsi="Gotham Black"/>
                <w:color w:val="C00000"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color w:val="C00000"/>
                <w:sz w:val="16"/>
                <w:szCs w:val="16"/>
                <w:u w:val="single"/>
              </w:rPr>
              <w:t xml:space="preserve">MEGLÉVŐ KUTAK </w:t>
            </w:r>
          </w:p>
          <w:p w:rsidR="00D16683" w:rsidRPr="00D16683" w:rsidRDefault="00D16683" w:rsidP="00D16683">
            <w:pPr>
              <w:pStyle w:val="Listaszerbekezds"/>
              <w:spacing w:before="240"/>
              <w:ind w:left="1080"/>
              <w:jc w:val="both"/>
              <w:rPr>
                <w:rFonts w:ascii="Gotham Black" w:hAnsi="Gotham Black"/>
                <w:color w:val="0070C0"/>
                <w:sz w:val="16"/>
                <w:szCs w:val="16"/>
              </w:rPr>
            </w:pP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9"/>
              </w:numPr>
              <w:spacing w:before="240"/>
              <w:jc w:val="both"/>
              <w:rPr>
                <w:rFonts w:ascii="Gotham Black" w:hAnsi="Gotham Black"/>
                <w:color w:val="E36C0A" w:themeColor="accent6" w:themeShade="BF"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  <w:t xml:space="preserve">Vízjogi fennmaradási és üzemeltetési eljárás </w:t>
            </w:r>
          </w:p>
          <w:p w:rsidR="00D16683" w:rsidRPr="00D16683" w:rsidRDefault="00D16683" w:rsidP="00D16683">
            <w:pPr>
              <w:spacing w:before="240"/>
              <w:ind w:left="360"/>
              <w:jc w:val="both"/>
              <w:rPr>
                <w:rFonts w:ascii="Gotham Black" w:hAnsi="Gotham Black"/>
                <w:sz w:val="16"/>
                <w:szCs w:val="16"/>
              </w:rPr>
            </w:pPr>
            <w:r w:rsidRPr="00D16683">
              <w:rPr>
                <w:rFonts w:ascii="Gotham Black" w:hAnsi="Gotham Black"/>
                <w:sz w:val="16"/>
                <w:szCs w:val="16"/>
              </w:rPr>
              <w:t>Lépései: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5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proofErr w:type="gramStart"/>
            <w:r w:rsidRPr="00D16683">
              <w:rPr>
                <w:rFonts w:ascii="Gotham Light" w:hAnsi="Gotham Light"/>
                <w:sz w:val="16"/>
                <w:szCs w:val="16"/>
              </w:rPr>
              <w:t>a.</w:t>
            </w:r>
            <w:proofErr w:type="gramEnd"/>
            <w:r w:rsidRPr="00D16683">
              <w:rPr>
                <w:rFonts w:ascii="Gotham Light" w:hAnsi="Gotham Light"/>
                <w:sz w:val="16"/>
                <w:szCs w:val="16"/>
              </w:rPr>
              <w:t xml:space="preserve"> fúrt kút esetén a kérelmezőnek a kérelem benyújtását megelőzően kútfúrásra jogosult szakember által készíttetnie szükséges egy tényleges megvalósulási állapotot tartalmazó tervdokumentációt (az állapotfelmérésre/kivitelezésre vonatkozó jogosultság igazolható a Magyar Agrárgazdasági Kamara által kiadott igazolással, vagy a kútfúró a szakirányú középfokú vízkútfúró végzettségét vagy szakirányú felsőfokú végzettség és </w:t>
            </w:r>
            <w:proofErr w:type="spellStart"/>
            <w:r w:rsidRPr="00D16683">
              <w:rPr>
                <w:rFonts w:ascii="Gotham Light" w:hAnsi="Gotham Light"/>
                <w:sz w:val="16"/>
                <w:szCs w:val="16"/>
              </w:rPr>
              <w:t>kútkivitelezési</w:t>
            </w:r>
            <w:proofErr w:type="spellEnd"/>
            <w:r w:rsidRPr="00D16683">
              <w:rPr>
                <w:rFonts w:ascii="Gotham Light" w:hAnsi="Gotham Light"/>
                <w:sz w:val="16"/>
                <w:szCs w:val="16"/>
              </w:rPr>
              <w:t xml:space="preserve"> jogosultságát igazoló dokumentummal – </w:t>
            </w:r>
            <w:r w:rsidRPr="00D16683">
              <w:rPr>
                <w:rFonts w:ascii="Gotham Light" w:hAnsi="Gotham Light"/>
                <w:i/>
                <w:sz w:val="16"/>
                <w:szCs w:val="16"/>
              </w:rPr>
              <w:t xml:space="preserve">101/2007. (XII.23.) </w:t>
            </w:r>
            <w:proofErr w:type="spellStart"/>
            <w:r w:rsidRPr="00D16683">
              <w:rPr>
                <w:rFonts w:ascii="Gotham Light" w:hAnsi="Gotham Light"/>
                <w:i/>
                <w:sz w:val="16"/>
                <w:szCs w:val="16"/>
              </w:rPr>
              <w:t>Kvvm</w:t>
            </w:r>
            <w:proofErr w:type="spellEnd"/>
            <w:r w:rsidRPr="00D16683">
              <w:rPr>
                <w:rFonts w:ascii="Gotham Light" w:hAnsi="Gotham Light"/>
                <w:i/>
                <w:sz w:val="16"/>
                <w:szCs w:val="16"/>
              </w:rPr>
              <w:t>. rend.</w:t>
            </w:r>
            <w:r w:rsidRPr="00D16683">
              <w:rPr>
                <w:rFonts w:ascii="Gotham Light" w:hAnsi="Gotham Light"/>
                <w:sz w:val="16"/>
                <w:szCs w:val="16"/>
              </w:rPr>
              <w:t>);</w:t>
            </w:r>
          </w:p>
          <w:p w:rsidR="00D16683" w:rsidRPr="00D16683" w:rsidRDefault="00D16683" w:rsidP="00D16683">
            <w:pPr>
              <w:pStyle w:val="Listaszerbekezds"/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</w:p>
          <w:p w:rsidR="00D16683" w:rsidRPr="00D16683" w:rsidRDefault="00D16683" w:rsidP="00D16683">
            <w:pPr>
              <w:pStyle w:val="Listaszerbekezds"/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b. ásott és vert kút esetén a tervdokumentációt a kút tulajdonosa állítja össze, nem szükséges kútfúró bevonása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5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a kérelem benyújtása a szükséges mellékletekkel (41/2017. (XII.29. BM</w:t>
            </w:r>
            <w:r w:rsidRPr="00D16683">
              <w:rPr>
                <w:rFonts w:ascii="Gotham Light" w:hAnsi="Gotham Light"/>
                <w:i/>
                <w:sz w:val="16"/>
                <w:szCs w:val="16"/>
              </w:rPr>
              <w:t>. rend</w:t>
            </w:r>
            <w:r w:rsidRPr="00D16683">
              <w:rPr>
                <w:rFonts w:ascii="Gotham Light" w:hAnsi="Gotham Light"/>
                <w:sz w:val="16"/>
                <w:szCs w:val="16"/>
              </w:rPr>
              <w:t>.);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5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az eljáró hatóság indokolt esetben szakértőként vonja be az illetékes katasztrófavédelmi igazgatóságot annak megállapítására, hogy a kút nem veszélyeztet karszt- vagy rétegvíz-készletet;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5"/>
              </w:numPr>
              <w:spacing w:before="24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engedély kiadása vagy a kiadás megtagadása.</w:t>
            </w:r>
          </w:p>
          <w:p w:rsidR="00D16683" w:rsidRPr="00D16683" w:rsidRDefault="00D16683" w:rsidP="00D16683">
            <w:pPr>
              <w:spacing w:before="240"/>
              <w:ind w:firstLine="284"/>
              <w:jc w:val="both"/>
              <w:rPr>
                <w:rFonts w:ascii="Gotham Black" w:hAnsi="Gotham Black"/>
                <w:i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i/>
                <w:sz w:val="16"/>
                <w:szCs w:val="16"/>
                <w:u w:val="single"/>
              </w:rPr>
              <w:t>A jegyző eljárásához kötelezően benyújtandó:</w:t>
            </w:r>
          </w:p>
          <w:p w:rsidR="00D16683" w:rsidRPr="00D16683" w:rsidRDefault="00D16683" w:rsidP="00D16683">
            <w:pPr>
              <w:pStyle w:val="Listaszerbekezds"/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A megvalósult műszaki állapotra vonatkozó tervdokumentáció:) fúrt kút létesítése esetén </w:t>
            </w:r>
            <w:r w:rsidR="0079028B">
              <w:rPr>
                <w:rFonts w:ascii="Gotham Light" w:hAnsi="Gotham Light"/>
                <w:sz w:val="16"/>
                <w:szCs w:val="16"/>
              </w:rPr>
              <w:t>víz</w:t>
            </w:r>
            <w:r w:rsidRPr="00D16683">
              <w:rPr>
                <w:rFonts w:ascii="Gotham Light" w:hAnsi="Gotham Light"/>
                <w:sz w:val="16"/>
                <w:szCs w:val="16"/>
              </w:rPr>
              <w:t>kútfúró</w:t>
            </w:r>
            <w:r w:rsidR="0079028B">
              <w:rPr>
                <w:rFonts w:ascii="Gotham Light" w:hAnsi="Gotham Light"/>
                <w:sz w:val="16"/>
                <w:szCs w:val="16"/>
              </w:rPr>
              <w:t xml:space="preserve"> szakember </w:t>
            </w:r>
            <w:r w:rsidRPr="00D16683">
              <w:rPr>
                <w:rFonts w:ascii="Gotham Light" w:hAnsi="Gotham Light"/>
                <w:sz w:val="16"/>
                <w:szCs w:val="16"/>
              </w:rPr>
              <w:t>által – ásott és vert kút esetén a kút tulajdonosa által összeállítva: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fúrt kút esetén a tervdokumentációt végző személy jogosultságának igazolása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kitöltött kérelemnyomtatvány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helyszínrajz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fényképfelvétel a kútról és környezetéről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közmű üzemeltetőjének hozzájárulása, ha a vízi létesítmény közműveket érint.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  <w:u w:val="single"/>
              </w:rPr>
              <w:t>ha a vízkivétel ivóvíz célú: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 szakhatóság (megyei kormányhivatalok népegészségügyi főosztálya) szakvéleménye, (ez igazolható az eljárási díj befizetésével, vagy a kiadott szakvéleménnyel) </w:t>
            </w:r>
            <w:r w:rsidRPr="00D16683">
              <w:rPr>
                <w:rFonts w:ascii="Gotham Light" w:hAnsi="Gotham Light"/>
                <w:b/>
                <w:sz w:val="16"/>
                <w:szCs w:val="16"/>
              </w:rPr>
              <w:t>DE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 amennyiben az ingatlant határoló közterületen az ivóvíz-törzshálózat műszakilag elérhető, akkor saját célú ivóvízmű nem telepíthető, meglévő érvényességi ideje nem hosszabbítható, azaz a vízhasználó köteles a víziközmű-szolgáltatást igénybe venni!</w:t>
            </w:r>
          </w:p>
          <w:p w:rsidR="00D16683" w:rsidRPr="00D16683" w:rsidRDefault="00D16683" w:rsidP="00D16683">
            <w:pPr>
              <w:pStyle w:val="Listaszerbekezds"/>
              <w:spacing w:before="240"/>
              <w:ind w:left="0"/>
              <w:jc w:val="center"/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</w:pPr>
          </w:p>
          <w:p w:rsidR="00D16683" w:rsidRPr="00D16683" w:rsidRDefault="00D16683" w:rsidP="00D16683">
            <w:pPr>
              <w:pStyle w:val="Listaszerbekezds"/>
              <w:spacing w:before="240"/>
              <w:ind w:left="0"/>
              <w:jc w:val="center"/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</w:pP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9"/>
              </w:numPr>
              <w:spacing w:before="240"/>
              <w:jc w:val="both"/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color w:val="0070C0"/>
                <w:sz w:val="16"/>
                <w:szCs w:val="16"/>
                <w:u w:val="single"/>
              </w:rPr>
              <w:t>Vízjogi megszüntetési eljárás</w:t>
            </w:r>
          </w:p>
          <w:p w:rsidR="00D16683" w:rsidRPr="00D16683" w:rsidRDefault="00D16683" w:rsidP="00D16683">
            <w:pPr>
              <w:pStyle w:val="Listaszerbekezds"/>
              <w:spacing w:before="240"/>
              <w:ind w:left="2844"/>
              <w:jc w:val="both"/>
              <w:rPr>
                <w:rFonts w:ascii="Gotham Light" w:hAnsi="Gotham Light"/>
                <w:color w:val="0070C0"/>
                <w:sz w:val="16"/>
                <w:szCs w:val="16"/>
              </w:rPr>
            </w:pPr>
          </w:p>
          <w:p w:rsidR="00D16683" w:rsidRPr="00D16683" w:rsidRDefault="00D16683" w:rsidP="00D16683">
            <w:pPr>
              <w:pStyle w:val="Listaszerbekezds"/>
              <w:spacing w:before="240"/>
              <w:ind w:left="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lastRenderedPageBreak/>
              <w:t xml:space="preserve">Megszüntetési engedély szükséges az engedély nélkül létesített, engedély nélkül üzemeltetett vagy a már engedélyezett, de használaton kívüli vízi létesítmény szabályos eltömedékelésére. </w:t>
            </w:r>
          </w:p>
          <w:p w:rsidR="00D16683" w:rsidRPr="00D16683" w:rsidRDefault="00D16683" w:rsidP="00D16683">
            <w:pPr>
              <w:pStyle w:val="Listaszerbekezds"/>
              <w:spacing w:before="240"/>
              <w:ind w:left="0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Az engedélyezésre sor kerülhet a tulajdonos kérelmére, vagy a hatóság kötelezése alapján, amennyiben a kút vízgazdálkodási, vagy vízvédelmi érdekeket sért.</w:t>
            </w:r>
          </w:p>
          <w:p w:rsidR="00D16683" w:rsidRPr="00D16683" w:rsidRDefault="00D16683" w:rsidP="00D16683">
            <w:pPr>
              <w:pStyle w:val="Listaszerbekezds"/>
              <w:spacing w:before="240"/>
              <w:ind w:left="0"/>
              <w:jc w:val="both"/>
              <w:rPr>
                <w:rFonts w:ascii="Gotham Light" w:hAnsi="Gotham Light"/>
                <w:sz w:val="16"/>
                <w:szCs w:val="16"/>
              </w:rPr>
            </w:pPr>
          </w:p>
          <w:p w:rsidR="00D16683" w:rsidRPr="00D16683" w:rsidRDefault="00D16683" w:rsidP="00D16683">
            <w:pPr>
              <w:spacing w:before="240"/>
              <w:jc w:val="both"/>
              <w:rPr>
                <w:rFonts w:ascii="Gotham Black" w:hAnsi="Gotham Black"/>
                <w:i/>
                <w:sz w:val="16"/>
                <w:szCs w:val="16"/>
                <w:u w:val="single"/>
              </w:rPr>
            </w:pPr>
            <w:r w:rsidRPr="00D16683">
              <w:rPr>
                <w:rFonts w:ascii="Gotham Black" w:hAnsi="Gotham Black"/>
                <w:i/>
                <w:sz w:val="16"/>
                <w:szCs w:val="16"/>
                <w:u w:val="single"/>
              </w:rPr>
              <w:t>A jegyző eljárásához kötelezően benyújtandó: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kitöltött kérelemnyomtatvány fúrt kút létesítése esetén </w:t>
            </w:r>
            <w:r w:rsidR="0079028B">
              <w:rPr>
                <w:rFonts w:ascii="Gotham Light" w:hAnsi="Gotham Light"/>
                <w:sz w:val="16"/>
                <w:szCs w:val="16"/>
              </w:rPr>
              <w:t>víz</w:t>
            </w:r>
            <w:r w:rsidRPr="00D16683">
              <w:rPr>
                <w:rFonts w:ascii="Gotham Light" w:hAnsi="Gotham Light"/>
                <w:sz w:val="16"/>
                <w:szCs w:val="16"/>
              </w:rPr>
              <w:t xml:space="preserve">kútfúró </w:t>
            </w:r>
            <w:r w:rsidR="0079028B">
              <w:rPr>
                <w:rFonts w:ascii="Gotham Light" w:hAnsi="Gotham Light"/>
                <w:sz w:val="16"/>
                <w:szCs w:val="16"/>
              </w:rPr>
              <w:t xml:space="preserve">szakember </w:t>
            </w:r>
            <w:bookmarkStart w:id="0" w:name="_GoBack"/>
            <w:bookmarkEnd w:id="0"/>
            <w:r w:rsidRPr="00D16683">
              <w:rPr>
                <w:rFonts w:ascii="Gotham Light" w:hAnsi="Gotham Light"/>
                <w:sz w:val="16"/>
                <w:szCs w:val="16"/>
              </w:rPr>
              <w:t xml:space="preserve">által – ásott és vert kút esetén a kút tulajdonosa által 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 xml:space="preserve">fúrt kút esetében az eltömedékelést végző személy jogosultságáról szóló igazolás (szakirányú középfokú vízkútfúró végzettség vagy szakirányú felsőfokú végzettség és </w:t>
            </w:r>
            <w:proofErr w:type="spellStart"/>
            <w:r w:rsidRPr="00D16683">
              <w:rPr>
                <w:rFonts w:ascii="Gotham Light" w:hAnsi="Gotham Light"/>
                <w:sz w:val="16"/>
                <w:szCs w:val="16"/>
              </w:rPr>
              <w:t>kútkivitelezési</w:t>
            </w:r>
            <w:proofErr w:type="spellEnd"/>
            <w:r w:rsidRPr="00D16683">
              <w:rPr>
                <w:rFonts w:ascii="Gotham Light" w:hAnsi="Gotham Light"/>
                <w:sz w:val="16"/>
                <w:szCs w:val="16"/>
              </w:rPr>
              <w:t xml:space="preserve"> jogosultság, vagy a Magyar Agrárgazdasági Kamara igazolása) </w:t>
            </w:r>
          </w:p>
          <w:p w:rsidR="00D16683" w:rsidRPr="00D16683" w:rsidRDefault="00D16683" w:rsidP="00D16683">
            <w:pPr>
              <w:pStyle w:val="Listaszerbekezds"/>
              <w:numPr>
                <w:ilvl w:val="0"/>
                <w:numId w:val="1"/>
              </w:numPr>
              <w:spacing w:before="240"/>
              <w:ind w:left="2844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D16683">
              <w:rPr>
                <w:rFonts w:ascii="Gotham Light" w:hAnsi="Gotham Light"/>
                <w:sz w:val="16"/>
                <w:szCs w:val="16"/>
              </w:rPr>
              <w:t>közmű üzemeltetőjének hozzájárulása, ha a vízi létesítmény közműveket érint.</w:t>
            </w:r>
          </w:p>
          <w:p w:rsidR="00D83B98" w:rsidRPr="00D83B98" w:rsidRDefault="00D83B98" w:rsidP="00D83B98">
            <w:pPr>
              <w:spacing w:before="120" w:after="120"/>
              <w:ind w:left="56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63691B">
              <w:rPr>
                <w:rFonts w:ascii="Gotham Light" w:hAnsi="Gotham Light"/>
                <w:b/>
                <w:sz w:val="16"/>
                <w:szCs w:val="16"/>
              </w:rPr>
              <w:t>Ügyintézési határidő</w:t>
            </w:r>
            <w:r>
              <w:rPr>
                <w:rFonts w:ascii="Gotham Light" w:hAnsi="Gotham Light"/>
                <w:sz w:val="16"/>
                <w:szCs w:val="16"/>
              </w:rPr>
              <w:t>: 60nap</w:t>
            </w:r>
          </w:p>
        </w:tc>
      </w:tr>
      <w:tr w:rsidR="00291B26" w:rsidRPr="002D323E" w:rsidTr="00291B26">
        <w:tc>
          <w:tcPr>
            <w:tcW w:w="1929" w:type="dxa"/>
          </w:tcPr>
          <w:p w:rsidR="00291B26" w:rsidRDefault="00291B26" w:rsidP="00291B26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  <w:r w:rsidRPr="0058152E">
              <w:rPr>
                <w:rFonts w:ascii="Gotham Black" w:hAnsi="Gotham Black"/>
                <w:sz w:val="18"/>
                <w:szCs w:val="18"/>
              </w:rPr>
              <w:lastRenderedPageBreak/>
              <w:t>Vonatkozó jogszabályok:</w:t>
            </w:r>
          </w:p>
          <w:p w:rsidR="00524328" w:rsidRDefault="00524328" w:rsidP="00291B26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</w:p>
          <w:p w:rsidR="00524328" w:rsidRPr="0058152E" w:rsidRDefault="00524328" w:rsidP="00291B26">
            <w:pPr>
              <w:spacing w:before="120" w:after="120"/>
              <w:rPr>
                <w:rFonts w:ascii="Gotham Black" w:hAnsi="Gotham Black"/>
                <w:sz w:val="18"/>
                <w:szCs w:val="18"/>
              </w:rPr>
            </w:pPr>
          </w:p>
        </w:tc>
        <w:tc>
          <w:tcPr>
            <w:tcW w:w="7415" w:type="dxa"/>
          </w:tcPr>
          <w:p w:rsidR="00524328" w:rsidRPr="00145C42" w:rsidRDefault="00524328" w:rsidP="00A216EB">
            <w:pPr>
              <w:pStyle w:val="Listaszerbekezds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145C42">
              <w:rPr>
                <w:rFonts w:ascii="Gotham Light" w:hAnsi="Gotham Light"/>
                <w:sz w:val="16"/>
                <w:szCs w:val="16"/>
              </w:rPr>
              <w:t>vízgazdálkodásról szóló 1995. évi LVII. törvény,</w:t>
            </w:r>
          </w:p>
          <w:p w:rsidR="00524328" w:rsidRPr="00145C42" w:rsidRDefault="00A216EB" w:rsidP="00A216EB">
            <w:pPr>
              <w:pStyle w:val="Listaszerbekezds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145C42">
              <w:rPr>
                <w:rFonts w:ascii="Gotham Light" w:hAnsi="Gotham Light"/>
                <w:sz w:val="16"/>
                <w:szCs w:val="16"/>
              </w:rPr>
              <w:t>a</w:t>
            </w:r>
            <w:r w:rsidR="00524328" w:rsidRPr="00145C42">
              <w:rPr>
                <w:rFonts w:ascii="Gotham Light" w:hAnsi="Gotham Light"/>
                <w:sz w:val="16"/>
                <w:szCs w:val="16"/>
              </w:rPr>
              <w:t xml:space="preserve"> vízgazdálkodási hatósági jogkör gyakorlásáról szóló 72/1996.(V.22.) Korm. rendelet</w:t>
            </w:r>
          </w:p>
          <w:p w:rsidR="00524328" w:rsidRPr="00145C42" w:rsidRDefault="00524328" w:rsidP="00A216EB">
            <w:pPr>
              <w:pStyle w:val="Listaszerbekezds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sz w:val="16"/>
                <w:szCs w:val="16"/>
              </w:rPr>
            </w:pPr>
            <w:r w:rsidRPr="00145C42">
              <w:rPr>
                <w:rFonts w:ascii="Gotham Light" w:hAnsi="Gotham Light"/>
                <w:sz w:val="16"/>
                <w:szCs w:val="16"/>
              </w:rPr>
              <w:t xml:space="preserve">vízjogi engedélyezési eljáráshoz szükséges dokumentáció </w:t>
            </w:r>
            <w:r w:rsidR="00A216EB" w:rsidRPr="00145C42">
              <w:rPr>
                <w:rFonts w:ascii="Gotham Light" w:hAnsi="Gotham Light"/>
                <w:sz w:val="16"/>
                <w:szCs w:val="16"/>
              </w:rPr>
              <w:t xml:space="preserve">tartalmáról szóló </w:t>
            </w:r>
            <w:r w:rsidRPr="00145C42">
              <w:rPr>
                <w:rFonts w:ascii="Gotham Light" w:hAnsi="Gotham Light"/>
                <w:sz w:val="16"/>
                <w:szCs w:val="16"/>
              </w:rPr>
              <w:t>41/2017. (XII.29.) BM rendelet</w:t>
            </w:r>
          </w:p>
          <w:p w:rsidR="00A216EB" w:rsidRPr="00145C42" w:rsidRDefault="00A216EB" w:rsidP="00A216EB">
            <w:pPr>
              <w:pStyle w:val="Listaszerbekezds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145C42">
              <w:rPr>
                <w:rFonts w:ascii="Gotham Light" w:hAnsi="Gotham Light"/>
                <w:sz w:val="16"/>
                <w:szCs w:val="16"/>
              </w:rPr>
              <w:t xml:space="preserve">a felszín alatti vízkészletekbe történő beavatkozás és a vízkútfúrás szakmai követelményeiről szóló 101/2007. (XII.23.) </w:t>
            </w:r>
            <w:proofErr w:type="spellStart"/>
            <w:r w:rsidRPr="00145C42">
              <w:rPr>
                <w:rFonts w:ascii="Gotham Light" w:hAnsi="Gotham Light"/>
                <w:sz w:val="16"/>
                <w:szCs w:val="16"/>
              </w:rPr>
              <w:t>Kvvm</w:t>
            </w:r>
            <w:proofErr w:type="spellEnd"/>
            <w:r w:rsidRPr="00145C42">
              <w:rPr>
                <w:rFonts w:ascii="Gotham Light" w:hAnsi="Gotham Light"/>
                <w:sz w:val="16"/>
                <w:szCs w:val="16"/>
              </w:rPr>
              <w:t>. rend.</w:t>
            </w:r>
          </w:p>
          <w:p w:rsidR="00291B26" w:rsidRPr="00145C42" w:rsidRDefault="00145C42" w:rsidP="00E439A1">
            <w:pPr>
              <w:pStyle w:val="Listaszerbekezds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Gotham Light" w:hAnsi="Gotham Light"/>
                <w:sz w:val="16"/>
                <w:szCs w:val="16"/>
              </w:rPr>
            </w:pPr>
            <w:r w:rsidRPr="00145C42">
              <w:rPr>
                <w:rFonts w:ascii="Gotham Light" w:hAnsi="Gotham Light"/>
                <w:sz w:val="16"/>
                <w:szCs w:val="16"/>
              </w:rPr>
              <w:t>Az általános közigazgatási rendtartásról szóló 2016. évi CL. törvény</w:t>
            </w:r>
          </w:p>
        </w:tc>
      </w:tr>
    </w:tbl>
    <w:p w:rsidR="00F963C4" w:rsidRPr="002D323E" w:rsidRDefault="00F963C4">
      <w:pPr>
        <w:rPr>
          <w:rFonts w:ascii="Gotham Light" w:hAnsi="Gotham Light"/>
          <w:sz w:val="18"/>
          <w:szCs w:val="18"/>
        </w:rPr>
      </w:pPr>
    </w:p>
    <w:sectPr w:rsidR="00F963C4" w:rsidRPr="002D323E" w:rsidSect="00A216EB">
      <w:pgSz w:w="11906" w:h="16838"/>
      <w:pgMar w:top="567" w:right="14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C02"/>
    <w:multiLevelType w:val="hybridMultilevel"/>
    <w:tmpl w:val="0902F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921"/>
    <w:multiLevelType w:val="hybridMultilevel"/>
    <w:tmpl w:val="0902F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59"/>
    <w:multiLevelType w:val="hybridMultilevel"/>
    <w:tmpl w:val="A58EAD88"/>
    <w:lvl w:ilvl="0" w:tplc="3436567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B75B10"/>
    <w:multiLevelType w:val="hybridMultilevel"/>
    <w:tmpl w:val="5CA6A552"/>
    <w:lvl w:ilvl="0" w:tplc="34365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A25"/>
    <w:multiLevelType w:val="hybridMultilevel"/>
    <w:tmpl w:val="0902F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53BD1"/>
    <w:multiLevelType w:val="hybridMultilevel"/>
    <w:tmpl w:val="964A0818"/>
    <w:lvl w:ilvl="0" w:tplc="7DA48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D03D2"/>
    <w:multiLevelType w:val="hybridMultilevel"/>
    <w:tmpl w:val="0902F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2D47"/>
    <w:multiLevelType w:val="hybridMultilevel"/>
    <w:tmpl w:val="8B640C0C"/>
    <w:lvl w:ilvl="0" w:tplc="3A401254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EF55FB2"/>
    <w:multiLevelType w:val="hybridMultilevel"/>
    <w:tmpl w:val="0B784052"/>
    <w:lvl w:ilvl="0" w:tplc="3436567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E"/>
    <w:rsid w:val="00082CAC"/>
    <w:rsid w:val="0014588E"/>
    <w:rsid w:val="00145C42"/>
    <w:rsid w:val="00291B26"/>
    <w:rsid w:val="002D323E"/>
    <w:rsid w:val="002E7C11"/>
    <w:rsid w:val="003D6E74"/>
    <w:rsid w:val="003F2153"/>
    <w:rsid w:val="004B285B"/>
    <w:rsid w:val="00524328"/>
    <w:rsid w:val="0058152E"/>
    <w:rsid w:val="005C69B9"/>
    <w:rsid w:val="0063691B"/>
    <w:rsid w:val="0079028B"/>
    <w:rsid w:val="00811EE1"/>
    <w:rsid w:val="00826105"/>
    <w:rsid w:val="00884326"/>
    <w:rsid w:val="008F7C41"/>
    <w:rsid w:val="00934E04"/>
    <w:rsid w:val="00A216EB"/>
    <w:rsid w:val="00A702A0"/>
    <w:rsid w:val="00B31749"/>
    <w:rsid w:val="00C106AC"/>
    <w:rsid w:val="00C239CC"/>
    <w:rsid w:val="00D16683"/>
    <w:rsid w:val="00D83B98"/>
    <w:rsid w:val="00E439A1"/>
    <w:rsid w:val="00ED7AC8"/>
    <w:rsid w:val="00F36253"/>
    <w:rsid w:val="00F6471D"/>
    <w:rsid w:val="00F7359C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323E"/>
  </w:style>
  <w:style w:type="table" w:styleId="Rcsostblzat">
    <w:name w:val="Table Grid"/>
    <w:basedOn w:val="Normltblzat"/>
    <w:uiPriority w:val="59"/>
    <w:rsid w:val="002D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2D323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285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323E"/>
  </w:style>
  <w:style w:type="table" w:styleId="Rcsostblzat">
    <w:name w:val="Table Grid"/>
    <w:basedOn w:val="Normltblzat"/>
    <w:uiPriority w:val="59"/>
    <w:rsid w:val="002D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2D323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28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ucz-szigetvari.szonja@gya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890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Berta-Tóth Beáta</dc:creator>
  <cp:lastModifiedBy>KarvalicsKatalin</cp:lastModifiedBy>
  <cp:revision>11</cp:revision>
  <dcterms:created xsi:type="dcterms:W3CDTF">2018-12-01T18:21:00Z</dcterms:created>
  <dcterms:modified xsi:type="dcterms:W3CDTF">2020-03-31T15:39:00Z</dcterms:modified>
</cp:coreProperties>
</file>